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F5A0" w14:textId="5C4FFA22" w:rsidR="00D131CC" w:rsidRDefault="002058B3">
      <w:pPr>
        <w:pStyle w:val="Body"/>
        <w:rPr>
          <w:rFonts w:ascii="Arial" w:hAnsi="Arial" w:cs="Arial"/>
          <w:b/>
          <w:bCs/>
        </w:rPr>
      </w:pPr>
      <w:r>
        <w:rPr>
          <w:rFonts w:ascii="Arial" w:hAnsi="Arial" w:cs="Arial"/>
          <w:b/>
          <w:bCs/>
        </w:rPr>
        <w:t xml:space="preserve">Update: </w:t>
      </w:r>
      <w:r w:rsidRPr="006E3059">
        <w:rPr>
          <w:rFonts w:ascii="Arial" w:hAnsi="Arial" w:cs="Arial"/>
          <w:b/>
          <w:bCs/>
        </w:rPr>
        <w:t xml:space="preserve">Significant Changes </w:t>
      </w:r>
      <w:r w:rsidR="00087B6D">
        <w:rPr>
          <w:rFonts w:ascii="Arial" w:hAnsi="Arial" w:cs="Arial"/>
          <w:b/>
          <w:bCs/>
        </w:rPr>
        <w:t>FY 2016 NIH Grants Policy Statement</w:t>
      </w:r>
    </w:p>
    <w:p w14:paraId="31881403" w14:textId="77777777" w:rsidR="002058B3" w:rsidRDefault="002058B3">
      <w:pPr>
        <w:pStyle w:val="Body"/>
        <w:rPr>
          <w:rFonts w:ascii="Arial" w:hAnsi="Arial" w:cs="Arial"/>
          <w:bCs/>
        </w:rPr>
      </w:pPr>
    </w:p>
    <w:p w14:paraId="60F2DAC0" w14:textId="73506829" w:rsidR="002058B3" w:rsidRPr="002058B3" w:rsidRDefault="002058B3">
      <w:pPr>
        <w:pStyle w:val="Body"/>
      </w:pPr>
      <w:r w:rsidRPr="60F2DAC0">
        <w:rPr>
          <w:rFonts w:ascii="Arial" w:eastAsia="Arial" w:hAnsi="Arial" w:cs="Arial"/>
        </w:rPr>
        <w:t>The purpose of this documen</w:t>
      </w:r>
      <w:r w:rsidR="00087B6D" w:rsidRPr="60F2DAC0">
        <w:rPr>
          <w:rFonts w:ascii="Arial" w:eastAsia="Arial" w:hAnsi="Arial" w:cs="Arial"/>
        </w:rPr>
        <w:t>t is to provide an update to NIH</w:t>
      </w:r>
      <w:r w:rsidRPr="60F2DAC0">
        <w:rPr>
          <w:rFonts w:ascii="Arial" w:eastAsia="Arial" w:hAnsi="Arial" w:cs="Arial"/>
        </w:rPr>
        <w:t xml:space="preserve">’s upcoming changes to their </w:t>
      </w:r>
      <w:r w:rsidR="00087B6D" w:rsidRPr="60F2DAC0">
        <w:rPr>
          <w:rFonts w:ascii="Arial" w:eastAsia="Arial" w:hAnsi="Arial" w:cs="Arial"/>
        </w:rPr>
        <w:t>Grants Policy Statement</w:t>
      </w:r>
      <w:r w:rsidRPr="60F2DAC0">
        <w:rPr>
          <w:rFonts w:ascii="Arial" w:eastAsia="Arial" w:hAnsi="Arial" w:cs="Arial"/>
        </w:rPr>
        <w:t>. Individuals (Principal Investigators, Department Administrators, Contract and Grant Administrators, etc) involved in the proposal preparation process are encouraged to review this document and any related information prior to rou</w:t>
      </w:r>
      <w:r w:rsidR="00087B6D" w:rsidRPr="60F2DAC0">
        <w:rPr>
          <w:rFonts w:ascii="Arial" w:eastAsia="Arial" w:hAnsi="Arial" w:cs="Arial"/>
        </w:rPr>
        <w:t>ting the NIH</w:t>
      </w:r>
      <w:r w:rsidRPr="60F2DAC0">
        <w:rPr>
          <w:rFonts w:ascii="Arial" w:eastAsia="Arial" w:hAnsi="Arial" w:cs="Arial"/>
        </w:rPr>
        <w:t xml:space="preserve"> proposal to the UNM OSP via Cayuse SP.</w:t>
      </w:r>
    </w:p>
    <w:p w14:paraId="02807605" w14:textId="15EBE119" w:rsidR="60F2DAC0" w:rsidRDefault="60F2DAC0" w:rsidP="60F2DAC0">
      <w:pPr>
        <w:pStyle w:val="Body"/>
      </w:pPr>
    </w:p>
    <w:p w14:paraId="670CD9E1" w14:textId="1AA863B3" w:rsidR="00D131CC" w:rsidRPr="006E3059" w:rsidRDefault="00ED387A">
      <w:pPr>
        <w:pStyle w:val="Body"/>
        <w:rPr>
          <w:rFonts w:ascii="Arial" w:hAnsi="Arial" w:cs="Arial"/>
        </w:rPr>
      </w:pPr>
      <w:r>
        <w:rPr>
          <w:rStyle w:val="Hyperlink0"/>
          <w:rFonts w:ascii="Arial" w:hAnsi="Arial" w:cs="Arial"/>
          <w:u w:val="none"/>
        </w:rPr>
        <w:t xml:space="preserve">Please note that this document supplements the </w:t>
      </w:r>
      <w:r w:rsidR="00087B6D">
        <w:rPr>
          <w:rStyle w:val="Hyperlink0"/>
          <w:rFonts w:ascii="Arial" w:hAnsi="Arial" w:cs="Arial"/>
          <w:u w:val="none"/>
        </w:rPr>
        <w:t xml:space="preserve">NIH’s Significant Changes: FY 2016 NIH Grants Policy Statement </w:t>
      </w:r>
      <w:r>
        <w:rPr>
          <w:rStyle w:val="Hyperlink0"/>
          <w:rFonts w:ascii="Arial" w:hAnsi="Arial" w:cs="Arial"/>
          <w:u w:val="none"/>
        </w:rPr>
        <w:t>docum</w:t>
      </w:r>
      <w:r w:rsidR="00087B6D">
        <w:rPr>
          <w:rStyle w:val="Hyperlink0"/>
          <w:rFonts w:ascii="Arial" w:hAnsi="Arial" w:cs="Arial"/>
          <w:u w:val="none"/>
        </w:rPr>
        <w:t>ent that can be found on the NIH</w:t>
      </w:r>
      <w:r>
        <w:rPr>
          <w:rStyle w:val="Hyperlink0"/>
          <w:rFonts w:ascii="Arial" w:hAnsi="Arial" w:cs="Arial"/>
          <w:u w:val="none"/>
        </w:rPr>
        <w:t xml:space="preserve"> website </w:t>
      </w:r>
      <w:hyperlink r:id="rId6" w:history="1">
        <w:r w:rsidR="00087B6D">
          <w:rPr>
            <w:rStyle w:val="Hyperlink"/>
            <w:rFonts w:ascii="Arial" w:hAnsi="Arial" w:cs="Arial"/>
            <w:b/>
            <w:color w:val="0000FF"/>
          </w:rPr>
          <w:t>http://grants.nih.gov/grants/guide/notice-files/NOT-OD-16-017.html</w:t>
        </w:r>
      </w:hyperlink>
      <w:r>
        <w:rPr>
          <w:rStyle w:val="Hyperlink0"/>
          <w:rFonts w:ascii="Arial" w:hAnsi="Arial" w:cs="Arial"/>
          <w:u w:val="none"/>
        </w:rPr>
        <w:t xml:space="preserve">. </w:t>
      </w:r>
    </w:p>
    <w:tbl>
      <w:tblPr>
        <w:tblStyle w:val="MediumList2-Accent1"/>
        <w:tblW w:w="10800" w:type="dxa"/>
        <w:tblLayout w:type="fixed"/>
        <w:tblLook w:val="04A0" w:firstRow="1" w:lastRow="0" w:firstColumn="1" w:lastColumn="0" w:noHBand="0" w:noVBand="1"/>
      </w:tblPr>
      <w:tblGrid>
        <w:gridCol w:w="3438"/>
        <w:gridCol w:w="7362"/>
      </w:tblGrid>
      <w:tr w:rsidR="006E3059" w:rsidRPr="006E3059" w14:paraId="41EDAFF8" w14:textId="77777777" w:rsidTr="5A49C199">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3438" w:type="dxa"/>
            <w:vAlign w:val="bottom"/>
          </w:tcPr>
          <w:p w14:paraId="730F8DC3" w14:textId="5BC41C46" w:rsidR="006E3059" w:rsidRPr="006E3059" w:rsidRDefault="00ED387A" w:rsidP="006E3059">
            <w:pPr>
              <w:pStyle w:val="TableStyle2"/>
              <w:rPr>
                <w:rFonts w:ascii="Arial" w:hAnsi="Arial" w:cs="Arial"/>
                <w:szCs w:val="22"/>
              </w:rPr>
            </w:pPr>
            <w:r>
              <w:rPr>
                <w:rFonts w:ascii="Arial" w:hAnsi="Arial" w:cs="Arial"/>
                <w:szCs w:val="22"/>
              </w:rPr>
              <w:t>Change</w:t>
            </w:r>
          </w:p>
        </w:tc>
        <w:tc>
          <w:tcPr>
            <w:tcW w:w="7362" w:type="dxa"/>
            <w:vAlign w:val="bottom"/>
          </w:tcPr>
          <w:p w14:paraId="36BE69CD" w14:textId="77777777" w:rsidR="006E3059" w:rsidRPr="006E3059" w:rsidRDefault="5A49C199" w:rsidP="006E3059">
            <w:pPr>
              <w:pStyle w:val="TableStyle2"/>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5A49C199">
              <w:rPr>
                <w:rFonts w:ascii="Arial" w:eastAsia="Arial" w:hAnsi="Arial" w:cs="Arial"/>
              </w:rPr>
              <w:t>Summary</w:t>
            </w:r>
          </w:p>
        </w:tc>
      </w:tr>
      <w:tr w:rsidR="006E3059" w:rsidRPr="006E3059" w14:paraId="6AC19C4A" w14:textId="77777777" w:rsidTr="5A49C199">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438" w:type="dxa"/>
          </w:tcPr>
          <w:p w14:paraId="56849668" w14:textId="0E511CB1" w:rsidR="00D131CC" w:rsidRPr="00ED387A" w:rsidRDefault="009F066D" w:rsidP="006E3059">
            <w:pPr>
              <w:pStyle w:val="TableStyle2"/>
              <w:rPr>
                <w:rFonts w:ascii="Arial" w:hAnsi="Arial" w:cs="Arial"/>
                <w:b/>
              </w:rPr>
            </w:pPr>
            <w:r>
              <w:rPr>
                <w:rFonts w:ascii="Arial" w:hAnsi="Arial" w:cs="Arial"/>
                <w:b/>
                <w:szCs w:val="22"/>
              </w:rPr>
              <w:t>Genomic Data Sharing</w:t>
            </w:r>
          </w:p>
        </w:tc>
        <w:tc>
          <w:tcPr>
            <w:tcW w:w="7362" w:type="dxa"/>
          </w:tcPr>
          <w:p w14:paraId="79C6D3C4" w14:textId="2B58664A" w:rsidR="60F2DAC0" w:rsidRDefault="60F2DAC0" w:rsidP="60F2DAC0">
            <w:pPr>
              <w:cnfStyle w:val="000000100000" w:firstRow="0" w:lastRow="0" w:firstColumn="0" w:lastColumn="0" w:oddVBand="0" w:evenVBand="0" w:oddHBand="1" w:evenHBand="0" w:firstRowFirstColumn="0" w:firstRowLastColumn="0" w:lastRowFirstColumn="0" w:lastRowLastColumn="0"/>
            </w:pPr>
            <w:r w:rsidRPr="60F2DAC0">
              <w:rPr>
                <w:rFonts w:ascii="Arial" w:eastAsia="Arial" w:hAnsi="Arial" w:cs="Arial"/>
                <w:sz w:val="22"/>
                <w:szCs w:val="22"/>
              </w:rPr>
              <w:t xml:space="preserve">NIH requires a genomic data sharing plan for proposals that include generating large-scale human and/or non-human genomic data. </w:t>
            </w:r>
          </w:p>
          <w:p w14:paraId="38A35198" w14:textId="7FB03715" w:rsidR="60F2DAC0" w:rsidRDefault="60F2DAC0" w:rsidP="60F2DAC0">
            <w:pPr>
              <w:cnfStyle w:val="000000100000" w:firstRow="0" w:lastRow="0" w:firstColumn="0" w:lastColumn="0" w:oddVBand="0" w:evenVBand="0" w:oddHBand="1" w:evenHBand="0" w:firstRowFirstColumn="0" w:firstRowLastColumn="0" w:lastRowFirstColumn="0" w:lastRowLastColumn="0"/>
            </w:pPr>
            <w:r w:rsidRPr="60F2DAC0">
              <w:rPr>
                <w:rFonts w:ascii="Arial" w:eastAsia="Arial" w:hAnsi="Arial" w:cs="Arial"/>
                <w:sz w:val="22"/>
                <w:szCs w:val="22"/>
              </w:rPr>
              <w:t xml:space="preserve"> </w:t>
            </w:r>
          </w:p>
          <w:p w14:paraId="121EC0DC" w14:textId="5EB733AA" w:rsidR="60F2DAC0" w:rsidRDefault="60F2DAC0" w:rsidP="60F2DAC0">
            <w:pPr>
              <w:cnfStyle w:val="000000100000" w:firstRow="0" w:lastRow="0" w:firstColumn="0" w:lastColumn="0" w:oddVBand="0" w:evenVBand="0" w:oddHBand="1" w:evenHBand="0" w:firstRowFirstColumn="0" w:firstRowLastColumn="0" w:lastRowFirstColumn="0" w:lastRowLastColumn="0"/>
            </w:pPr>
            <w:r w:rsidRPr="60F2DAC0">
              <w:rPr>
                <w:rFonts w:ascii="Arial" w:eastAsia="Arial" w:hAnsi="Arial" w:cs="Arial"/>
                <w:sz w:val="22"/>
                <w:szCs w:val="22"/>
              </w:rPr>
              <w:t xml:space="preserve">In addition, applicants proposing to use controlled-access human genomic data from NIH-designated data repositories will need to outline the process for requesting said data. </w:t>
            </w:r>
          </w:p>
          <w:p w14:paraId="52DA20B5" w14:textId="723375F8" w:rsidR="60F2DAC0" w:rsidRDefault="60F2DAC0" w:rsidP="60F2DAC0">
            <w:pPr>
              <w:cnfStyle w:val="000000100000" w:firstRow="0" w:lastRow="0" w:firstColumn="0" w:lastColumn="0" w:oddVBand="0" w:evenVBand="0" w:oddHBand="1" w:evenHBand="0" w:firstRowFirstColumn="0" w:firstRowLastColumn="0" w:lastRowFirstColumn="0" w:lastRowLastColumn="0"/>
            </w:pPr>
            <w:r w:rsidRPr="60F2DAC0">
              <w:rPr>
                <w:rFonts w:ascii="Arial" w:eastAsia="Arial" w:hAnsi="Arial" w:cs="Arial"/>
                <w:sz w:val="22"/>
                <w:szCs w:val="22"/>
              </w:rPr>
              <w:t xml:space="preserve"> </w:t>
            </w:r>
          </w:p>
          <w:p w14:paraId="1C1AE829" w14:textId="506144E7" w:rsidR="60F2DAC0" w:rsidRDefault="60F2DAC0" w:rsidP="60F2DAC0">
            <w:pPr>
              <w:cnfStyle w:val="000000100000" w:firstRow="0" w:lastRow="0" w:firstColumn="0" w:lastColumn="0" w:oddVBand="0" w:evenVBand="0" w:oddHBand="1" w:evenHBand="0" w:firstRowFirstColumn="0" w:firstRowLastColumn="0" w:lastRowFirstColumn="0" w:lastRowLastColumn="0"/>
            </w:pPr>
            <w:r w:rsidRPr="60F2DAC0">
              <w:rPr>
                <w:rFonts w:ascii="Arial" w:eastAsia="Arial" w:hAnsi="Arial" w:cs="Arial"/>
                <w:sz w:val="22"/>
                <w:szCs w:val="22"/>
              </w:rPr>
              <w:t>The plan also needs to include the applicant’s intention to abide by the NIH Genomic Data User Code of Conduct.</w:t>
            </w:r>
          </w:p>
          <w:p w14:paraId="21E7A288" w14:textId="68CC5F94" w:rsidR="60F2DAC0" w:rsidRDefault="60F2DAC0" w:rsidP="60F2DAC0">
            <w:pPr>
              <w:cnfStyle w:val="000000100000" w:firstRow="0" w:lastRow="0" w:firstColumn="0" w:lastColumn="0" w:oddVBand="0" w:evenVBand="0" w:oddHBand="1" w:evenHBand="0" w:firstRowFirstColumn="0" w:firstRowLastColumn="0" w:lastRowFirstColumn="0" w:lastRowLastColumn="0"/>
            </w:pPr>
            <w:r w:rsidRPr="60F2DAC0">
              <w:rPr>
                <w:rFonts w:ascii="Arial" w:eastAsia="Arial" w:hAnsi="Arial" w:cs="Arial"/>
                <w:sz w:val="22"/>
                <w:szCs w:val="22"/>
              </w:rPr>
              <w:t xml:space="preserve"> </w:t>
            </w:r>
          </w:p>
          <w:p w14:paraId="7DF42CD9" w14:textId="0B5BEB91" w:rsidR="60F2DAC0" w:rsidRDefault="60F2DAC0" w:rsidP="60F2DAC0">
            <w:pPr>
              <w:cnfStyle w:val="000000100000" w:firstRow="0" w:lastRow="0" w:firstColumn="0" w:lastColumn="0" w:oddVBand="0" w:evenVBand="0" w:oddHBand="1" w:evenHBand="0" w:firstRowFirstColumn="0" w:firstRowLastColumn="0" w:lastRowFirstColumn="0" w:lastRowLastColumn="0"/>
            </w:pPr>
            <w:r w:rsidRPr="60F2DAC0">
              <w:rPr>
                <w:rFonts w:ascii="Arial" w:eastAsia="Arial" w:hAnsi="Arial" w:cs="Arial"/>
                <w:sz w:val="22"/>
                <w:szCs w:val="22"/>
              </w:rPr>
              <w:t>If your proposal includes the above-mentioned data or use of data, your CGA will screen for the genomic data sharing plan and required components set forth in the policy.</w:t>
            </w:r>
          </w:p>
          <w:p w14:paraId="378B0167" w14:textId="2FA407B2" w:rsidR="00D131CC" w:rsidRPr="006E3059" w:rsidRDefault="60F2DAC0" w:rsidP="009F066D">
            <w:pPr>
              <w:pStyle w:val="TableStyle2"/>
              <w:cnfStyle w:val="000000100000" w:firstRow="0" w:lastRow="0" w:firstColumn="0" w:lastColumn="0" w:oddVBand="0" w:evenVBand="0" w:oddHBand="1" w:evenHBand="0" w:firstRowFirstColumn="0" w:firstRowLastColumn="0" w:lastRowFirstColumn="0" w:lastRowLastColumn="0"/>
              <w:rPr>
                <w:rFonts w:ascii="Arial" w:hAnsi="Arial" w:cs="Arial"/>
              </w:rPr>
            </w:pPr>
            <w:r w:rsidRPr="60F2DAC0">
              <w:rPr>
                <w:rFonts w:ascii="Arial" w:eastAsia="Arial" w:hAnsi="Arial" w:cs="Arial"/>
                <w:sz w:val="22"/>
                <w:szCs w:val="22"/>
              </w:rPr>
              <w:t xml:space="preserve"> </w:t>
            </w:r>
          </w:p>
        </w:tc>
        <w:bookmarkStart w:id="0" w:name="_GoBack"/>
        <w:bookmarkEnd w:id="0"/>
      </w:tr>
      <w:tr w:rsidR="006E3059" w:rsidRPr="006E3059" w14:paraId="1F995FEC" w14:textId="77777777" w:rsidTr="5A49C199">
        <w:trPr>
          <w:trHeight w:val="920"/>
        </w:trPr>
        <w:tc>
          <w:tcPr>
            <w:cnfStyle w:val="001000000000" w:firstRow="0" w:lastRow="0" w:firstColumn="1" w:lastColumn="0" w:oddVBand="0" w:evenVBand="0" w:oddHBand="0" w:evenHBand="0" w:firstRowFirstColumn="0" w:firstRowLastColumn="0" w:lastRowFirstColumn="0" w:lastRowLastColumn="0"/>
            <w:tcW w:w="3438" w:type="dxa"/>
          </w:tcPr>
          <w:p w14:paraId="2095B4DA" w14:textId="0BFBE596" w:rsidR="00D131CC" w:rsidRPr="006E3059" w:rsidRDefault="009F066D" w:rsidP="006E3059">
            <w:pPr>
              <w:pStyle w:val="TableStyle2"/>
              <w:rPr>
                <w:rFonts w:ascii="Arial" w:hAnsi="Arial" w:cs="Arial"/>
              </w:rPr>
            </w:pPr>
            <w:r>
              <w:rPr>
                <w:rFonts w:ascii="Arial" w:hAnsi="Arial" w:cs="Arial"/>
              </w:rPr>
              <w:t>Application Non-compliance</w:t>
            </w:r>
          </w:p>
        </w:tc>
        <w:tc>
          <w:tcPr>
            <w:tcW w:w="7362" w:type="dxa"/>
          </w:tcPr>
          <w:p w14:paraId="2A47CD3D" w14:textId="0A97491D" w:rsidR="00D131CC" w:rsidRPr="006E3059" w:rsidRDefault="60F2DAC0" w:rsidP="60F2DA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60F2DAC0">
              <w:rPr>
                <w:rFonts w:ascii="Arial" w:eastAsia="Arial" w:hAnsi="Arial" w:cs="Arial"/>
                <w:sz w:val="22"/>
                <w:szCs w:val="22"/>
              </w:rPr>
              <w:t>NIH has included a formal reminder that they will withdraw applications that do not satisfy the instructions in the SF424 (R&amp;R) Application Guide, the Funding Opportunity Announcement, and relevant NIH Guide Notices. Recommend reading the solicitation, follow the guidelines, and work with your research support contact and your CGA early in the proposal development process to ensure that all requirement are met and instructions have been followed.</w:t>
            </w:r>
          </w:p>
        </w:tc>
      </w:tr>
      <w:tr w:rsidR="006E3059" w:rsidRPr="006E3059" w14:paraId="76541025" w14:textId="77777777" w:rsidTr="5A49C199">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438" w:type="dxa"/>
          </w:tcPr>
          <w:p w14:paraId="5A01B481" w14:textId="186E5DB5" w:rsidR="00D131CC" w:rsidRPr="00ED387A" w:rsidRDefault="009F066D" w:rsidP="006E3059">
            <w:pPr>
              <w:pStyle w:val="TableStyle2"/>
              <w:rPr>
                <w:rFonts w:ascii="Arial" w:hAnsi="Arial" w:cs="Arial"/>
                <w:b/>
              </w:rPr>
            </w:pPr>
            <w:r>
              <w:rPr>
                <w:rFonts w:ascii="Arial" w:hAnsi="Arial" w:cs="Arial"/>
                <w:b/>
              </w:rPr>
              <w:t>Extension of Final Period</w:t>
            </w:r>
          </w:p>
        </w:tc>
        <w:tc>
          <w:tcPr>
            <w:tcW w:w="7362" w:type="dxa"/>
          </w:tcPr>
          <w:p w14:paraId="0E76958E" w14:textId="4E9A425A" w:rsidR="00D131CC" w:rsidRPr="006E3059" w:rsidRDefault="60F2DAC0" w:rsidP="60F2DA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60F2DAC0">
              <w:rPr>
                <w:rFonts w:ascii="Arial" w:eastAsia="Arial" w:hAnsi="Arial" w:cs="Arial"/>
                <w:sz w:val="22"/>
                <w:szCs w:val="22"/>
              </w:rPr>
              <w:t>NIH will no longer require prior approval for reducing effort during a no-cost extension. You will still need to notify OSP and Contract and Grant Accounting to ensure that the dates are extended in Cayuse and Banner.</w:t>
            </w:r>
          </w:p>
        </w:tc>
      </w:tr>
      <w:tr w:rsidR="006E3059" w:rsidRPr="006E3059" w14:paraId="308B578B" w14:textId="77777777" w:rsidTr="5A49C199">
        <w:trPr>
          <w:trHeight w:val="920"/>
        </w:trPr>
        <w:tc>
          <w:tcPr>
            <w:cnfStyle w:val="001000000000" w:firstRow="0" w:lastRow="0" w:firstColumn="1" w:lastColumn="0" w:oddVBand="0" w:evenVBand="0" w:oddHBand="0" w:evenHBand="0" w:firstRowFirstColumn="0" w:firstRowLastColumn="0" w:lastRowFirstColumn="0" w:lastRowLastColumn="0"/>
            <w:tcW w:w="3438" w:type="dxa"/>
          </w:tcPr>
          <w:p w14:paraId="1D009609" w14:textId="15DF54CE" w:rsidR="00D131CC" w:rsidRPr="00E52BDB" w:rsidRDefault="60F2DAC0" w:rsidP="60F2DAC0">
            <w:pPr>
              <w:rPr>
                <w:sz w:val="20"/>
                <w:szCs w:val="20"/>
              </w:rPr>
            </w:pPr>
            <w:r w:rsidRPr="00E52BDB">
              <w:rPr>
                <w:rFonts w:ascii="Arial" w:eastAsia="Arial" w:hAnsi="Arial" w:cs="Arial"/>
                <w:sz w:val="20"/>
                <w:szCs w:val="20"/>
              </w:rPr>
              <w:t>Change in Scope for Approved Involvement of Human Subjects</w:t>
            </w:r>
          </w:p>
          <w:p w14:paraId="11FC580D" w14:textId="1832D9C6" w:rsidR="00D131CC" w:rsidRPr="006E3059" w:rsidRDefault="00D131CC" w:rsidP="006E3059">
            <w:pPr>
              <w:pStyle w:val="TableStyle2"/>
              <w:rPr>
                <w:rFonts w:ascii="Arial" w:hAnsi="Arial" w:cs="Arial"/>
              </w:rPr>
            </w:pPr>
          </w:p>
        </w:tc>
        <w:tc>
          <w:tcPr>
            <w:tcW w:w="7362" w:type="dxa"/>
          </w:tcPr>
          <w:p w14:paraId="18CAA0E6" w14:textId="7E77EBA0" w:rsidR="00D131CC" w:rsidRPr="006E3059" w:rsidRDefault="60F2DAC0" w:rsidP="60F2DA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60F2DAC0">
              <w:rPr>
                <w:rFonts w:ascii="Arial" w:eastAsia="Arial" w:hAnsi="Arial" w:cs="Arial"/>
                <w:sz w:val="22"/>
                <w:szCs w:val="22"/>
              </w:rPr>
              <w:t xml:space="preserve">NIH released provisions regarding Human Subjects, and this change implements those provisions. Recommend working with your IRB to ensure that the proper paperwork is being processed and communicate with OSP to ensure the appropriate actions are taking place. </w:t>
            </w:r>
          </w:p>
        </w:tc>
      </w:tr>
      <w:tr w:rsidR="006E3059" w:rsidRPr="006E3059" w14:paraId="79E4449D" w14:textId="77777777" w:rsidTr="5A49C199">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438" w:type="dxa"/>
          </w:tcPr>
          <w:p w14:paraId="6CAA4DFA" w14:textId="71235317" w:rsidR="00D131CC" w:rsidRPr="00ED387A" w:rsidRDefault="009F066D" w:rsidP="006E3059">
            <w:pPr>
              <w:pStyle w:val="TableStyle2"/>
              <w:rPr>
                <w:rFonts w:ascii="Arial" w:hAnsi="Arial" w:cs="Arial"/>
                <w:b/>
              </w:rPr>
            </w:pPr>
            <w:r>
              <w:rPr>
                <w:rFonts w:ascii="Arial" w:hAnsi="Arial" w:cs="Arial"/>
                <w:b/>
              </w:rPr>
              <w:t>Genomic Data Sharing Policy</w:t>
            </w:r>
          </w:p>
        </w:tc>
        <w:tc>
          <w:tcPr>
            <w:tcW w:w="7362" w:type="dxa"/>
          </w:tcPr>
          <w:p w14:paraId="5C7E71E5" w14:textId="003C8EE2" w:rsidR="00D131CC" w:rsidRPr="00E52BDB" w:rsidRDefault="60F2DAC0" w:rsidP="60F2DA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52BDB">
              <w:rPr>
                <w:rFonts w:ascii="Arial" w:eastAsia="Arial" w:hAnsi="Arial" w:cs="Arial"/>
                <w:sz w:val="22"/>
                <w:szCs w:val="22"/>
              </w:rPr>
              <w:t xml:space="preserve">NIH released provisions regarding transfer of </w:t>
            </w:r>
            <w:r w:rsidRPr="00E52BDB">
              <w:rPr>
                <w:rFonts w:ascii="Arial" w:eastAsia="Calibri" w:hAnsi="Arial" w:cs="Arial"/>
                <w:sz w:val="22"/>
                <w:szCs w:val="22"/>
              </w:rPr>
              <w:t xml:space="preserve">controlled-access genomic and associated phenotypic data obtained from NIH-designated data repositories that are under the auspices of the NIH GDS Policy to public or private cloud systems for data storage and analysis. NIH will allow investigators to request permission to transfer said data. </w:t>
            </w:r>
          </w:p>
        </w:tc>
      </w:tr>
      <w:tr w:rsidR="006E3059" w:rsidRPr="006E3059" w14:paraId="3C1AF590" w14:textId="77777777" w:rsidTr="5A49C199">
        <w:trPr>
          <w:trHeight w:val="920"/>
        </w:trPr>
        <w:tc>
          <w:tcPr>
            <w:cnfStyle w:val="001000000000" w:firstRow="0" w:lastRow="0" w:firstColumn="1" w:lastColumn="0" w:oddVBand="0" w:evenVBand="0" w:oddHBand="0" w:evenHBand="0" w:firstRowFirstColumn="0" w:firstRowLastColumn="0" w:lastRowFirstColumn="0" w:lastRowLastColumn="0"/>
            <w:tcW w:w="3438" w:type="dxa"/>
          </w:tcPr>
          <w:p w14:paraId="452946DA" w14:textId="73378F71" w:rsidR="00D131CC" w:rsidRPr="006E3059" w:rsidRDefault="009F066D" w:rsidP="006E3059">
            <w:pPr>
              <w:pStyle w:val="TableStyle2"/>
              <w:rPr>
                <w:rFonts w:ascii="Arial" w:hAnsi="Arial" w:cs="Arial"/>
              </w:rPr>
            </w:pPr>
            <w:r>
              <w:rPr>
                <w:rFonts w:ascii="Arial" w:hAnsi="Arial" w:cs="Arial"/>
              </w:rPr>
              <w:t>Inventions and Patents</w:t>
            </w:r>
          </w:p>
        </w:tc>
        <w:tc>
          <w:tcPr>
            <w:tcW w:w="7362" w:type="dxa"/>
          </w:tcPr>
          <w:p w14:paraId="56223A2D" w14:textId="0CA1E5F9" w:rsidR="00D131CC" w:rsidRPr="006E3059" w:rsidRDefault="60F2DAC0" w:rsidP="60F2DAC0">
            <w:pPr>
              <w:cnfStyle w:val="000000000000" w:firstRow="0" w:lastRow="0" w:firstColumn="0" w:lastColumn="0" w:oddVBand="0" w:evenVBand="0" w:oddHBand="0" w:evenHBand="0" w:firstRowFirstColumn="0" w:firstRowLastColumn="0" w:lastRowFirstColumn="0" w:lastRowLastColumn="0"/>
            </w:pPr>
            <w:r w:rsidRPr="60F2DAC0">
              <w:rPr>
                <w:rFonts w:ascii="Arial" w:eastAsia="Arial" w:hAnsi="Arial" w:cs="Arial"/>
                <w:sz w:val="22"/>
                <w:szCs w:val="22"/>
              </w:rPr>
              <w:t>FYI iEdison will be used for all reports of inventions subject to Bayh-Dole.</w:t>
            </w:r>
          </w:p>
          <w:p w14:paraId="5B8FF0EF" w14:textId="56DFD4FA" w:rsidR="00D131CC" w:rsidRPr="006E3059" w:rsidRDefault="00D131CC">
            <w:pPr>
              <w:pStyle w:val="TableStyle2"/>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6E662F2" w14:textId="1B078118" w:rsidR="00D131CC" w:rsidRPr="00E52BDB" w:rsidRDefault="3F292F34">
      <w:pPr>
        <w:pStyle w:val="Body"/>
        <w:rPr>
          <w:rFonts w:ascii="Arial" w:hAnsi="Arial" w:cs="Arial"/>
        </w:rPr>
      </w:pPr>
      <w:r w:rsidRPr="00E52BDB">
        <w:rPr>
          <w:rFonts w:ascii="Arial" w:eastAsia="Helvetica" w:hAnsi="Arial" w:cs="Arial"/>
          <w:b/>
          <w:bCs/>
        </w:rPr>
        <w:t>Other changes in NIH:</w:t>
      </w:r>
    </w:p>
    <w:p w14:paraId="37D683DF" w14:textId="1F72AB0B" w:rsidR="3F292F34" w:rsidRPr="00E52BDB" w:rsidRDefault="3F292F34">
      <w:pPr>
        <w:rPr>
          <w:rFonts w:ascii="Arial" w:hAnsi="Arial" w:cs="Arial"/>
          <w:sz w:val="22"/>
          <w:szCs w:val="22"/>
        </w:rPr>
      </w:pPr>
      <w:r w:rsidRPr="00E52BDB">
        <w:rPr>
          <w:rFonts w:ascii="Arial" w:eastAsia="Helvetica" w:hAnsi="Arial" w:cs="Arial"/>
          <w:sz w:val="22"/>
          <w:szCs w:val="22"/>
        </w:rPr>
        <w:t xml:space="preserve">Inclusion of Children in Clinical Research: Change in NIH Definition </w:t>
      </w:r>
    </w:p>
    <w:p w14:paraId="174396D7" w14:textId="5477CAF8" w:rsidR="3F292F34" w:rsidRPr="00E52BDB" w:rsidRDefault="00BD5757">
      <w:pPr>
        <w:rPr>
          <w:rFonts w:ascii="Arial" w:hAnsi="Arial" w:cs="Arial"/>
          <w:sz w:val="22"/>
          <w:szCs w:val="22"/>
        </w:rPr>
      </w:pPr>
      <w:hyperlink r:id="rId7">
        <w:r w:rsidR="3F292F34" w:rsidRPr="00E52BDB">
          <w:rPr>
            <w:rStyle w:val="Hyperlink"/>
            <w:rFonts w:ascii="Arial" w:eastAsia="Helvetica" w:hAnsi="Arial" w:cs="Arial"/>
            <w:sz w:val="22"/>
            <w:szCs w:val="22"/>
          </w:rPr>
          <w:t>http://grants.nih.gov/grants/guide/notice-files/NOT-OD-16-010.html</w:t>
        </w:r>
      </w:hyperlink>
      <w:r w:rsidR="3F292F34" w:rsidRPr="00E52BDB">
        <w:rPr>
          <w:rFonts w:ascii="Arial" w:eastAsia="Helvetica" w:hAnsi="Arial" w:cs="Arial"/>
          <w:sz w:val="22"/>
          <w:szCs w:val="22"/>
        </w:rPr>
        <w:t xml:space="preserve"> </w:t>
      </w:r>
    </w:p>
    <w:sectPr w:rsidR="3F292F34" w:rsidRPr="00E52BDB">
      <w:head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1C26" w14:textId="77777777" w:rsidR="006F1641" w:rsidRDefault="006F1641">
      <w:r>
        <w:separator/>
      </w:r>
    </w:p>
  </w:endnote>
  <w:endnote w:type="continuationSeparator" w:id="0">
    <w:p w14:paraId="42BD009D" w14:textId="77777777" w:rsidR="006F1641" w:rsidRDefault="006F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D221" w14:textId="77777777" w:rsidR="006F1641" w:rsidRDefault="006F1641">
      <w:r>
        <w:separator/>
      </w:r>
    </w:p>
  </w:footnote>
  <w:footnote w:type="continuationSeparator" w:id="0">
    <w:p w14:paraId="503CE9EC" w14:textId="77777777" w:rsidR="006F1641" w:rsidRDefault="006F16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F96B" w14:textId="78DD23C5" w:rsidR="006F1641" w:rsidRDefault="60F2DAC0">
    <w:r>
      <w:t>RAN Handout: January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CC"/>
    <w:rsid w:val="00087B6D"/>
    <w:rsid w:val="002058B3"/>
    <w:rsid w:val="002C6ACC"/>
    <w:rsid w:val="003B028D"/>
    <w:rsid w:val="006E3059"/>
    <w:rsid w:val="006F1641"/>
    <w:rsid w:val="009F066D"/>
    <w:rsid w:val="00B655AF"/>
    <w:rsid w:val="00BD5757"/>
    <w:rsid w:val="00C3099E"/>
    <w:rsid w:val="00CB100F"/>
    <w:rsid w:val="00D131CC"/>
    <w:rsid w:val="00E3556C"/>
    <w:rsid w:val="00E52BDB"/>
    <w:rsid w:val="00ED387A"/>
    <w:rsid w:val="3F292F34"/>
    <w:rsid w:val="5A49C199"/>
    <w:rsid w:val="60F2D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337DE"/>
  <w15:docId w15:val="{FF2AFB6F-7627-4709-8CCD-59FA10E7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table" w:styleId="LightShading">
    <w:name w:val="Light Shading"/>
    <w:basedOn w:val="TableNormal"/>
    <w:uiPriority w:val="60"/>
    <w:rsid w:val="006E30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3059"/>
    <w:rPr>
      <w:color w:val="2F759E" w:themeColor="accent1" w:themeShade="BF"/>
    </w:rPr>
    <w:tblPr>
      <w:tblStyleRowBandSize w:val="1"/>
      <w:tblStyleColBandSize w:val="1"/>
      <w:tblInd w:w="0" w:type="dxa"/>
      <w:tblBorders>
        <w:top w:val="single" w:sz="8" w:space="0" w:color="499BC9" w:themeColor="accent1"/>
        <w:bottom w:val="single" w:sz="8" w:space="0" w:color="499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table" w:styleId="LightList-Accent1">
    <w:name w:val="Light List Accent 1"/>
    <w:basedOn w:val="TableNormal"/>
    <w:uiPriority w:val="61"/>
    <w:rsid w:val="006E3059"/>
    <w:tblPr>
      <w:tblStyleRowBandSize w:val="1"/>
      <w:tblStyleColBandSize w:val="1"/>
      <w:tblInd w:w="0" w:type="dxa"/>
      <w:tblBorders>
        <w:top w:val="single" w:sz="8" w:space="0" w:color="499BC9" w:themeColor="accent1"/>
        <w:left w:val="single" w:sz="8" w:space="0" w:color="499BC9" w:themeColor="accent1"/>
        <w:bottom w:val="single" w:sz="8" w:space="0" w:color="499BC9" w:themeColor="accent1"/>
        <w:right w:val="single" w:sz="8" w:space="0" w:color="499B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99BC9" w:themeFill="accent1"/>
      </w:tcPr>
    </w:tblStylePr>
    <w:tblStylePr w:type="lastRow">
      <w:pPr>
        <w:spacing w:before="0" w:after="0" w:line="240" w:lineRule="auto"/>
      </w:pPr>
      <w:rPr>
        <w:b/>
        <w:bCs/>
      </w:rPr>
      <w:tblPr/>
      <w:tcPr>
        <w:tcBorders>
          <w:top w:val="double" w:sz="6" w:space="0" w:color="499BC9" w:themeColor="accent1"/>
          <w:left w:val="single" w:sz="8" w:space="0" w:color="499BC9" w:themeColor="accent1"/>
          <w:bottom w:val="single" w:sz="8" w:space="0" w:color="499BC9" w:themeColor="accent1"/>
          <w:right w:val="single" w:sz="8" w:space="0" w:color="499BC9" w:themeColor="accent1"/>
        </w:tcBorders>
      </w:tcPr>
    </w:tblStylePr>
    <w:tblStylePr w:type="firstCol">
      <w:rPr>
        <w:b/>
        <w:bCs/>
      </w:rPr>
    </w:tblStylePr>
    <w:tblStylePr w:type="lastCol">
      <w:rPr>
        <w:b/>
        <w:bCs/>
      </w:rPr>
    </w:tblStylePr>
    <w:tblStylePr w:type="band1Vert">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tblStylePr w:type="band1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style>
  <w:style w:type="table" w:styleId="MediumList1-Accent1">
    <w:name w:val="Medium List 1 Accent 1"/>
    <w:basedOn w:val="TableNormal"/>
    <w:uiPriority w:val="65"/>
    <w:rsid w:val="006E3059"/>
    <w:rPr>
      <w:color w:val="000000" w:themeColor="text1"/>
    </w:rPr>
    <w:tblPr>
      <w:tblStyleRowBandSize w:val="1"/>
      <w:tblStyleColBandSize w:val="1"/>
      <w:tblInd w:w="0" w:type="dxa"/>
      <w:tblBorders>
        <w:top w:val="single" w:sz="8" w:space="0" w:color="499BC9" w:themeColor="accent1"/>
        <w:bottom w:val="single" w:sz="8" w:space="0" w:color="499BC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404040"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MediumGrid2-Accent1">
    <w:name w:val="Medium Grid 2 Accent 1"/>
    <w:basedOn w:val="TableNormal"/>
    <w:uiPriority w:val="68"/>
    <w:rsid w:val="006E3059"/>
    <w:rPr>
      <w:rFonts w:asciiTheme="majorHAnsi" w:eastAsiaTheme="majorEastAsia" w:hAnsiTheme="majorHAnsi" w:cstheme="majorBidi"/>
      <w:color w:val="000000" w:themeColor="text1"/>
    </w:rPr>
    <w:tblPr>
      <w:tblStyleRowBandSize w:val="1"/>
      <w:tblStyleColBandSize w:val="1"/>
      <w:tblInd w:w="0" w:type="dxa"/>
      <w:tblBorders>
        <w:top w:val="single" w:sz="8" w:space="0" w:color="499BC9" w:themeColor="accent1"/>
        <w:left w:val="single" w:sz="8" w:space="0" w:color="499BC9" w:themeColor="accent1"/>
        <w:bottom w:val="single" w:sz="8" w:space="0" w:color="499BC9" w:themeColor="accent1"/>
        <w:right w:val="single" w:sz="8" w:space="0" w:color="499BC9" w:themeColor="accent1"/>
        <w:insideH w:val="single" w:sz="8" w:space="0" w:color="499BC9" w:themeColor="accent1"/>
        <w:insideV w:val="single" w:sz="8" w:space="0" w:color="499BC9" w:themeColor="accent1"/>
      </w:tblBorders>
      <w:tblCellMar>
        <w:top w:w="0" w:type="dxa"/>
        <w:left w:w="108" w:type="dxa"/>
        <w:bottom w:w="0" w:type="dxa"/>
        <w:right w:w="108" w:type="dxa"/>
      </w:tblCellMar>
    </w:tblPr>
    <w:tcPr>
      <w:shd w:val="clear" w:color="auto" w:fill="D2E6F1" w:themeFill="accent1" w:themeFillTint="3F"/>
    </w:tcPr>
    <w:tblStylePr w:type="firstRow">
      <w:rPr>
        <w:b/>
        <w:bCs/>
        <w:color w:val="000000" w:themeColor="text1"/>
      </w:rPr>
      <w:tblPr/>
      <w:tcPr>
        <w:shd w:val="clear" w:color="auto" w:fill="EDF5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AF4" w:themeFill="accent1" w:themeFillTint="33"/>
      </w:tcPr>
    </w:tblStylePr>
    <w:tblStylePr w:type="band1Vert">
      <w:tblPr/>
      <w:tcPr>
        <w:shd w:val="clear" w:color="auto" w:fill="A4CDE4" w:themeFill="accent1" w:themeFillTint="7F"/>
      </w:tcPr>
    </w:tblStylePr>
    <w:tblStylePr w:type="band1Horz">
      <w:tblPr/>
      <w:tcPr>
        <w:tcBorders>
          <w:insideH w:val="single" w:sz="6" w:space="0" w:color="499BC9" w:themeColor="accent1"/>
          <w:insideV w:val="single" w:sz="6" w:space="0" w:color="499BC9" w:themeColor="accent1"/>
        </w:tcBorders>
        <w:shd w:val="clear" w:color="auto" w:fill="A4CDE4"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6E3059"/>
    <w:rPr>
      <w:rFonts w:asciiTheme="majorHAnsi" w:eastAsiaTheme="majorEastAsia" w:hAnsiTheme="majorHAnsi" w:cstheme="majorBidi"/>
      <w:color w:val="000000" w:themeColor="text1"/>
    </w:rPr>
    <w:tblPr>
      <w:tblStyleRowBandSize w:val="1"/>
      <w:tblStyleColBandSize w:val="1"/>
      <w:tblInd w:w="0" w:type="dxa"/>
      <w:tblBorders>
        <w:top w:val="single" w:sz="8" w:space="0" w:color="499BC9" w:themeColor="accent1"/>
        <w:left w:val="single" w:sz="8" w:space="0" w:color="499BC9" w:themeColor="accent1"/>
        <w:bottom w:val="single" w:sz="8" w:space="0" w:color="499BC9" w:themeColor="accent1"/>
        <w:right w:val="single" w:sz="8" w:space="0" w:color="499BC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99BC9" w:themeColor="accent1"/>
          <w:right w:val="nil"/>
          <w:insideH w:val="nil"/>
          <w:insideV w:val="nil"/>
        </w:tcBorders>
        <w:shd w:val="clear" w:color="auto" w:fill="FFFFFF" w:themeFill="background1"/>
      </w:tcPr>
    </w:tblStylePr>
    <w:tblStylePr w:type="lastRow">
      <w:tblPr/>
      <w:tcPr>
        <w:tcBorders>
          <w:top w:val="single" w:sz="8" w:space="0" w:color="499BC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9BC9" w:themeColor="accent1"/>
          <w:insideH w:val="nil"/>
          <w:insideV w:val="nil"/>
        </w:tcBorders>
        <w:shd w:val="clear" w:color="auto" w:fill="FFFFFF" w:themeFill="background1"/>
      </w:tcPr>
    </w:tblStylePr>
    <w:tblStylePr w:type="lastCol">
      <w:tblPr/>
      <w:tcPr>
        <w:tcBorders>
          <w:top w:val="nil"/>
          <w:left w:val="single" w:sz="8" w:space="0" w:color="499BC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top w:val="nil"/>
          <w:bottom w:val="nil"/>
          <w:insideH w:val="nil"/>
          <w:insideV w:val="nil"/>
        </w:tcBorders>
        <w:shd w:val="clear" w:color="auto" w:fill="D2E6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F066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rants.nih.gov/grants/guide/notice-files/NOT-OD-16-017.html" TargetMode="External"/><Relationship Id="rId7" Type="http://schemas.openxmlformats.org/officeDocument/2006/relationships/hyperlink" Target="http://grants.nih.gov/grants/guide/notice-files/NOT-OD-16-010.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2693</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iroeder</dc:creator>
  <cp:lastModifiedBy>Grace Lynn Faustino</cp:lastModifiedBy>
  <cp:revision>2</cp:revision>
  <dcterms:created xsi:type="dcterms:W3CDTF">2016-01-19T01:55:00Z</dcterms:created>
  <dcterms:modified xsi:type="dcterms:W3CDTF">2016-01-19T01:55:00Z</dcterms:modified>
</cp:coreProperties>
</file>