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55A2" w14:textId="77777777" w:rsidR="00005A40" w:rsidRPr="007A5200" w:rsidRDefault="00005A40" w:rsidP="00005A40">
      <w:pPr>
        <w:pStyle w:val="BodyA"/>
        <w:ind w:firstLine="360"/>
        <w:jc w:val="center"/>
        <w:rPr>
          <w:rFonts w:ascii="Times New Roman" w:hAnsi="Times New Roman" w:cs="Times New Roman"/>
          <w:b/>
          <w:bCs/>
          <w:sz w:val="22"/>
          <w:szCs w:val="22"/>
          <w:lang w:val="nl-NL"/>
        </w:rPr>
      </w:pPr>
    </w:p>
    <w:p w14:paraId="4A057DDC" w14:textId="77777777" w:rsidR="00532F3C" w:rsidRPr="007A5200" w:rsidRDefault="00532F3C" w:rsidP="00005A40">
      <w:pPr>
        <w:pStyle w:val="BodyA"/>
        <w:rPr>
          <w:rFonts w:ascii="Times New Roman" w:hAnsi="Times New Roman" w:cs="Times New Roman"/>
          <w:b/>
          <w:bCs/>
          <w:sz w:val="22"/>
          <w:szCs w:val="22"/>
          <w:lang w:val="nl-NL"/>
        </w:rPr>
      </w:pPr>
    </w:p>
    <w:p w14:paraId="1131169B" w14:textId="52F24CE7" w:rsidR="00C60B40" w:rsidRPr="007A5200" w:rsidRDefault="00C60B40" w:rsidP="00C60B40">
      <w:pPr>
        <w:pStyle w:val="BodyA"/>
        <w:jc w:val="right"/>
        <w:rPr>
          <w:rFonts w:ascii="Times New Roman" w:hAnsi="Times New Roman" w:cs="Times New Roman"/>
          <w:bCs/>
          <w:sz w:val="22"/>
          <w:szCs w:val="22"/>
          <w:lang w:val="nl-NL"/>
        </w:rPr>
      </w:pPr>
      <w:r w:rsidRPr="007A5200">
        <w:rPr>
          <w:rFonts w:ascii="Times New Roman" w:hAnsi="Times New Roman" w:cs="Times New Roman"/>
          <w:bCs/>
          <w:sz w:val="22"/>
          <w:szCs w:val="22"/>
          <w:lang w:val="nl-NL"/>
        </w:rPr>
        <w:t xml:space="preserve">UNM MAIN CAMPUS </w:t>
      </w:r>
    </w:p>
    <w:p w14:paraId="233CE20C" w14:textId="77777777" w:rsidR="00C60B40" w:rsidRPr="007A5200" w:rsidRDefault="00C60B40" w:rsidP="00C60B40">
      <w:pPr>
        <w:pStyle w:val="BodyA"/>
        <w:rPr>
          <w:rFonts w:ascii="Times New Roman" w:hAnsi="Times New Roman" w:cs="Times New Roman"/>
          <w:bCs/>
          <w:sz w:val="22"/>
          <w:szCs w:val="22"/>
        </w:rPr>
      </w:pPr>
    </w:p>
    <w:p w14:paraId="2E1AFACC" w14:textId="78EA19A8" w:rsidR="00532F3C" w:rsidRPr="007A5200" w:rsidRDefault="00A91462" w:rsidP="00C60B40">
      <w:pPr>
        <w:pStyle w:val="BodyA"/>
        <w:rPr>
          <w:rFonts w:ascii="Times New Roman" w:hAnsi="Times New Roman" w:cs="Times New Roman"/>
          <w:bCs/>
          <w:sz w:val="22"/>
          <w:szCs w:val="22"/>
        </w:rPr>
      </w:pPr>
      <w:r>
        <w:rPr>
          <w:rFonts w:ascii="Times New Roman" w:hAnsi="Times New Roman" w:cs="Times New Roman"/>
          <w:bCs/>
          <w:sz w:val="22"/>
          <w:szCs w:val="22"/>
        </w:rPr>
        <w:t>August 7</w:t>
      </w:r>
      <w:r w:rsidR="00995634" w:rsidRPr="007A5200">
        <w:rPr>
          <w:rFonts w:ascii="Times New Roman" w:hAnsi="Times New Roman" w:cs="Times New Roman"/>
          <w:bCs/>
          <w:sz w:val="22"/>
          <w:szCs w:val="22"/>
        </w:rPr>
        <w:t>, 2015</w:t>
      </w:r>
    </w:p>
    <w:p w14:paraId="64C22E83" w14:textId="77777777" w:rsidR="007A5200" w:rsidRPr="007A5200" w:rsidRDefault="007A5200" w:rsidP="00005A40">
      <w:pPr>
        <w:pStyle w:val="BodyA"/>
        <w:rPr>
          <w:rFonts w:ascii="Times New Roman" w:hAnsi="Times New Roman" w:cs="Times New Roman"/>
          <w:bCs/>
          <w:sz w:val="22"/>
          <w:szCs w:val="22"/>
        </w:rPr>
      </w:pPr>
    </w:p>
    <w:p w14:paraId="54C49E5E" w14:textId="64ADE22E" w:rsidR="007A5200" w:rsidRDefault="007A5200" w:rsidP="00005A40">
      <w:pPr>
        <w:pStyle w:val="BodyA"/>
        <w:rPr>
          <w:rFonts w:ascii="Times New Roman" w:hAnsi="Times New Roman" w:cs="Times New Roman"/>
          <w:sz w:val="22"/>
          <w:szCs w:val="22"/>
        </w:rPr>
      </w:pPr>
      <w:r w:rsidRPr="007A5200">
        <w:rPr>
          <w:rFonts w:ascii="Times New Roman" w:hAnsi="Times New Roman" w:cs="Times New Roman"/>
          <w:bCs/>
          <w:sz w:val="22"/>
          <w:szCs w:val="22"/>
        </w:rPr>
        <w:t xml:space="preserve">To: </w:t>
      </w:r>
      <w:r w:rsidRPr="007A5200">
        <w:rPr>
          <w:rFonts w:ascii="Times New Roman" w:hAnsi="Times New Roman" w:cs="Times New Roman"/>
          <w:sz w:val="22"/>
          <w:szCs w:val="22"/>
        </w:rPr>
        <w:t>Deans, Directors, Chairs, Faculty and Staff</w:t>
      </w:r>
    </w:p>
    <w:p w14:paraId="7C6B95E6" w14:textId="77777777" w:rsidR="006B7A9B" w:rsidRDefault="006B7A9B" w:rsidP="00005A40">
      <w:pPr>
        <w:pStyle w:val="BodyA"/>
        <w:rPr>
          <w:rFonts w:ascii="Times New Roman" w:hAnsi="Times New Roman" w:cs="Times New Roman"/>
          <w:sz w:val="22"/>
          <w:szCs w:val="22"/>
        </w:rPr>
      </w:pPr>
    </w:p>
    <w:p w14:paraId="4FF8574F" w14:textId="77777777" w:rsidR="006B7A9B" w:rsidRPr="007A5200" w:rsidRDefault="006B7A9B" w:rsidP="006B7A9B">
      <w:pPr>
        <w:pStyle w:val="BodyA"/>
        <w:rPr>
          <w:rFonts w:ascii="Times New Roman" w:hAnsi="Times New Roman" w:cs="Times New Roman"/>
          <w:bCs/>
          <w:sz w:val="22"/>
          <w:szCs w:val="22"/>
        </w:rPr>
      </w:pPr>
      <w:r w:rsidRPr="007A5200">
        <w:rPr>
          <w:rFonts w:ascii="Times New Roman" w:hAnsi="Times New Roman" w:cs="Times New Roman"/>
          <w:bCs/>
          <w:sz w:val="22"/>
          <w:szCs w:val="22"/>
        </w:rPr>
        <w:t>From: Michael Dougher, Vice President for Research</w:t>
      </w:r>
    </w:p>
    <w:p w14:paraId="46629B9B" w14:textId="77777777" w:rsidR="006B7A9B" w:rsidRPr="007A5200" w:rsidRDefault="006B7A9B" w:rsidP="00005A40">
      <w:pPr>
        <w:pStyle w:val="BodyA"/>
        <w:rPr>
          <w:rFonts w:ascii="Times New Roman" w:hAnsi="Times New Roman" w:cs="Times New Roman"/>
          <w:sz w:val="22"/>
          <w:szCs w:val="22"/>
        </w:rPr>
      </w:pPr>
    </w:p>
    <w:p w14:paraId="6FD804EC" w14:textId="28F218FD" w:rsidR="00BE5E08" w:rsidRPr="007A5200" w:rsidRDefault="00532F3C" w:rsidP="00BE5E08">
      <w:pPr>
        <w:pStyle w:val="BodyA"/>
        <w:rPr>
          <w:rFonts w:ascii="Times New Roman" w:hAnsi="Times New Roman" w:cs="Times New Roman"/>
          <w:bCs/>
          <w:sz w:val="22"/>
          <w:szCs w:val="22"/>
        </w:rPr>
      </w:pPr>
      <w:r w:rsidRPr="007A5200">
        <w:rPr>
          <w:rFonts w:ascii="Times New Roman" w:hAnsi="Times New Roman" w:cs="Times New Roman"/>
          <w:bCs/>
          <w:sz w:val="22"/>
          <w:szCs w:val="22"/>
        </w:rPr>
        <w:t xml:space="preserve">Subject:  </w:t>
      </w:r>
      <w:r w:rsidR="006129A9" w:rsidRPr="007A5200">
        <w:rPr>
          <w:rFonts w:ascii="Times New Roman" w:hAnsi="Times New Roman" w:cs="Times New Roman"/>
          <w:bCs/>
          <w:sz w:val="22"/>
          <w:szCs w:val="22"/>
        </w:rPr>
        <w:t xml:space="preserve">Update on </w:t>
      </w:r>
      <w:r w:rsidR="00995634" w:rsidRPr="007A5200">
        <w:rPr>
          <w:rFonts w:ascii="Times New Roman" w:hAnsi="Times New Roman" w:cs="Times New Roman"/>
          <w:bCs/>
          <w:sz w:val="22"/>
          <w:szCs w:val="22"/>
        </w:rPr>
        <w:t>Proposal Submission Guidelines</w:t>
      </w:r>
    </w:p>
    <w:p w14:paraId="14F69F59" w14:textId="77777777" w:rsidR="007A5200" w:rsidRPr="007A5200" w:rsidRDefault="007A5200" w:rsidP="00BE5E08">
      <w:pPr>
        <w:pStyle w:val="BodyA"/>
        <w:rPr>
          <w:rFonts w:ascii="Times New Roman" w:hAnsi="Times New Roman" w:cs="Times New Roman"/>
          <w:sz w:val="22"/>
          <w:szCs w:val="22"/>
        </w:rPr>
      </w:pPr>
    </w:p>
    <w:p w14:paraId="4E7F89FF" w14:textId="7CD73D87" w:rsidR="007F6BA9" w:rsidRPr="007A5200" w:rsidRDefault="007F6BA9" w:rsidP="00BE5E08">
      <w:pPr>
        <w:pStyle w:val="BodyA"/>
        <w:rPr>
          <w:rFonts w:ascii="Times New Roman" w:eastAsia="Helvetica" w:hAnsi="Times New Roman" w:cs="Times New Roman"/>
          <w:sz w:val="22"/>
          <w:szCs w:val="22"/>
        </w:rPr>
      </w:pPr>
      <w:r w:rsidRPr="007A5200">
        <w:rPr>
          <w:rFonts w:ascii="Times New Roman" w:hAnsi="Times New Roman" w:cs="Times New Roman"/>
          <w:sz w:val="22"/>
          <w:szCs w:val="22"/>
        </w:rPr>
        <w:t xml:space="preserve">First, thanks for your feedback on the draft modifications to the Proposal Submission Guidelines that were distributed in May. As is to be expected when changes are proposed, we received lots </w:t>
      </w:r>
      <w:r w:rsidR="001C5637" w:rsidRPr="007A5200">
        <w:rPr>
          <w:rFonts w:ascii="Times New Roman" w:hAnsi="Times New Roman" w:cs="Times New Roman"/>
          <w:sz w:val="22"/>
          <w:szCs w:val="22"/>
        </w:rPr>
        <w:t>of comments from across campus</w:t>
      </w:r>
      <w:r w:rsidR="001820A3" w:rsidRPr="007A5200">
        <w:rPr>
          <w:rFonts w:ascii="Times New Roman" w:hAnsi="Times New Roman" w:cs="Times New Roman"/>
          <w:sz w:val="22"/>
          <w:szCs w:val="22"/>
        </w:rPr>
        <w:t>. From your comments, it was</w:t>
      </w:r>
      <w:r w:rsidRPr="007A5200">
        <w:rPr>
          <w:rFonts w:ascii="Times New Roman" w:hAnsi="Times New Roman" w:cs="Times New Roman"/>
          <w:sz w:val="22"/>
          <w:szCs w:val="22"/>
        </w:rPr>
        <w:t xml:space="preserve"> clear that the lack of a detailed justification as a preamble to the suggested changes made them appear arbitrary and abrupt. In addition, many respondents expressed concern that the changes would introduce new impediment</w:t>
      </w:r>
      <w:r w:rsidR="007A5200">
        <w:rPr>
          <w:rFonts w:ascii="Times New Roman" w:hAnsi="Times New Roman" w:cs="Times New Roman"/>
          <w:sz w:val="22"/>
          <w:szCs w:val="22"/>
        </w:rPr>
        <w:t>s to research at UNM. As this was</w:t>
      </w:r>
      <w:r w:rsidRPr="007A5200">
        <w:rPr>
          <w:rFonts w:ascii="Times New Roman" w:hAnsi="Times New Roman" w:cs="Times New Roman"/>
          <w:sz w:val="22"/>
          <w:szCs w:val="22"/>
        </w:rPr>
        <w:t xml:space="preserve"> exactly the opposite of our intent, let me take this opportunity to present a broader context within which to consider the new policy. </w:t>
      </w:r>
    </w:p>
    <w:p w14:paraId="0DDDE2F7" w14:textId="77777777" w:rsidR="007F6BA9" w:rsidRPr="007A5200" w:rsidRDefault="007F6BA9" w:rsidP="007F6BA9">
      <w:pPr>
        <w:pStyle w:val="BodyA"/>
        <w:rPr>
          <w:rFonts w:ascii="Times New Roman" w:hAnsi="Times New Roman" w:cs="Times New Roman"/>
          <w:sz w:val="22"/>
          <w:szCs w:val="22"/>
        </w:rPr>
      </w:pPr>
    </w:p>
    <w:p w14:paraId="4C27D765" w14:textId="01406592" w:rsidR="00BE5E08" w:rsidRPr="007A5200" w:rsidRDefault="004F0635" w:rsidP="00BE5E08">
      <w:pPr>
        <w:pStyle w:val="BodyA"/>
        <w:rPr>
          <w:rFonts w:ascii="Times New Roman" w:hAnsi="Times New Roman" w:cs="Times New Roman"/>
          <w:i/>
          <w:sz w:val="22"/>
          <w:szCs w:val="22"/>
        </w:rPr>
      </w:pPr>
      <w:r w:rsidRPr="007A5200">
        <w:rPr>
          <w:rFonts w:ascii="Times New Roman" w:hAnsi="Times New Roman" w:cs="Times New Roman"/>
          <w:i/>
          <w:sz w:val="22"/>
          <w:szCs w:val="22"/>
        </w:rPr>
        <w:t xml:space="preserve">The </w:t>
      </w:r>
      <w:r w:rsidR="00532F3C" w:rsidRPr="007A5200">
        <w:rPr>
          <w:rFonts w:ascii="Times New Roman" w:hAnsi="Times New Roman" w:cs="Times New Roman"/>
          <w:i/>
          <w:sz w:val="22"/>
          <w:szCs w:val="22"/>
        </w:rPr>
        <w:t>Process</w:t>
      </w:r>
    </w:p>
    <w:p w14:paraId="38CDB88E" w14:textId="77777777" w:rsidR="00BE5E08" w:rsidRPr="007A5200" w:rsidRDefault="00BE5E08" w:rsidP="00BE5E08">
      <w:pPr>
        <w:pStyle w:val="BodyA"/>
        <w:rPr>
          <w:rFonts w:ascii="Times New Roman" w:hAnsi="Times New Roman" w:cs="Times New Roman"/>
          <w:i/>
          <w:sz w:val="22"/>
          <w:szCs w:val="22"/>
        </w:rPr>
      </w:pPr>
    </w:p>
    <w:p w14:paraId="1458E3B7" w14:textId="3BAC45A8" w:rsidR="007F6BA9" w:rsidRPr="007A5200" w:rsidRDefault="001C5637" w:rsidP="00BE5E08">
      <w:pPr>
        <w:pStyle w:val="BodyA"/>
        <w:rPr>
          <w:rFonts w:ascii="Times New Roman" w:hAnsi="Times New Roman" w:cs="Times New Roman"/>
          <w:i/>
          <w:sz w:val="22"/>
          <w:szCs w:val="22"/>
        </w:rPr>
      </w:pPr>
      <w:r w:rsidRPr="007A5200">
        <w:rPr>
          <w:rFonts w:ascii="Times New Roman" w:hAnsi="Times New Roman" w:cs="Times New Roman"/>
          <w:sz w:val="22"/>
          <w:szCs w:val="22"/>
        </w:rPr>
        <w:t xml:space="preserve">The proposed changes </w:t>
      </w:r>
      <w:r w:rsidR="001820A3" w:rsidRPr="007A5200">
        <w:rPr>
          <w:rFonts w:ascii="Times New Roman" w:hAnsi="Times New Roman" w:cs="Times New Roman"/>
          <w:sz w:val="22"/>
          <w:szCs w:val="22"/>
        </w:rPr>
        <w:t xml:space="preserve">outlined in the previous draft </w:t>
      </w:r>
      <w:r w:rsidRPr="007A5200">
        <w:rPr>
          <w:rFonts w:ascii="Times New Roman" w:hAnsi="Times New Roman" w:cs="Times New Roman"/>
          <w:sz w:val="22"/>
          <w:szCs w:val="22"/>
        </w:rPr>
        <w:t xml:space="preserve">were </w:t>
      </w:r>
      <w:r w:rsidR="007F6BA9" w:rsidRPr="007A5200">
        <w:rPr>
          <w:rFonts w:ascii="Times New Roman" w:hAnsi="Times New Roman" w:cs="Times New Roman"/>
          <w:sz w:val="22"/>
          <w:szCs w:val="22"/>
        </w:rPr>
        <w:t xml:space="preserve">the result of several open, detailed and, sometimes, intense discussions that occurred last spring in several meetings of the VPR advisory committee. This committee consists of the Associate Deans for Research from each main campus college, the Directors of the three Category 3 research centers, representatives from the Faculty Senate Research Committees, and representatives of the OVPR. These discussions began in an attempt to address some growing problems identified by the Office of Sponsored Projects (OSP, or “Pre-Award”) that are both costly to the University’s research mission and put the University at considerable risk of noncompliance with both federal and state guidelines. We did not enter these discussions with a set of predetermined solutions and, in fact, several of the proposed changes were suggested by members of the advisory committee. While we in the OVPR assumed that the gist of these discussions had made their way to the faculty and research staff, your comments clearly indicated that assumption was mistaken. Final suggestions were probably made too late in the semester for that to happen, hence, the appearance that they were arbitrary and abrupt. </w:t>
      </w:r>
    </w:p>
    <w:p w14:paraId="3124AFFC" w14:textId="77777777" w:rsidR="007F6BA9" w:rsidRPr="007A5200" w:rsidRDefault="007F6BA9" w:rsidP="007F6BA9">
      <w:pPr>
        <w:pStyle w:val="BodyA"/>
        <w:rPr>
          <w:rFonts w:ascii="Times New Roman" w:hAnsi="Times New Roman" w:cs="Times New Roman"/>
          <w:sz w:val="22"/>
          <w:szCs w:val="22"/>
        </w:rPr>
      </w:pPr>
    </w:p>
    <w:p w14:paraId="47FD90D5" w14:textId="0FDCF1AF" w:rsidR="00BE5E08" w:rsidRPr="007A5200" w:rsidRDefault="004F0635" w:rsidP="00BE5E08">
      <w:pPr>
        <w:pStyle w:val="BodyA"/>
        <w:rPr>
          <w:rFonts w:ascii="Times New Roman" w:hAnsi="Times New Roman" w:cs="Times New Roman"/>
          <w:i/>
          <w:sz w:val="22"/>
          <w:szCs w:val="22"/>
        </w:rPr>
      </w:pPr>
      <w:r w:rsidRPr="007A5200">
        <w:rPr>
          <w:rFonts w:ascii="Times New Roman" w:hAnsi="Times New Roman" w:cs="Times New Roman"/>
          <w:i/>
          <w:sz w:val="22"/>
          <w:szCs w:val="22"/>
        </w:rPr>
        <w:t>Evaluation of Existing Submission Practice</w:t>
      </w:r>
      <w:r w:rsidR="007A5200" w:rsidRPr="007A5200">
        <w:rPr>
          <w:rFonts w:ascii="Times New Roman" w:hAnsi="Times New Roman" w:cs="Times New Roman"/>
          <w:i/>
          <w:sz w:val="22"/>
          <w:szCs w:val="22"/>
        </w:rPr>
        <w:t>s</w:t>
      </w:r>
      <w:r w:rsidRPr="007A5200">
        <w:rPr>
          <w:rFonts w:ascii="Times New Roman" w:hAnsi="Times New Roman" w:cs="Times New Roman"/>
          <w:i/>
          <w:sz w:val="22"/>
          <w:szCs w:val="22"/>
        </w:rPr>
        <w:t xml:space="preserve"> and Rationale for Changes</w:t>
      </w:r>
    </w:p>
    <w:p w14:paraId="4961727D" w14:textId="77777777" w:rsidR="00BE5E08" w:rsidRPr="007A5200" w:rsidRDefault="00BE5E08" w:rsidP="00BE5E08">
      <w:pPr>
        <w:pStyle w:val="BodyA"/>
        <w:rPr>
          <w:rFonts w:ascii="Times New Roman" w:hAnsi="Times New Roman" w:cs="Times New Roman"/>
          <w:i/>
          <w:sz w:val="22"/>
          <w:szCs w:val="22"/>
        </w:rPr>
      </w:pPr>
    </w:p>
    <w:p w14:paraId="67801B7B" w14:textId="47E74B99" w:rsidR="007F6BA9" w:rsidRPr="007A5200" w:rsidRDefault="007A5200" w:rsidP="00BE5E08">
      <w:pPr>
        <w:pStyle w:val="BodyA"/>
        <w:rPr>
          <w:rFonts w:ascii="Times New Roman" w:hAnsi="Times New Roman" w:cs="Times New Roman"/>
          <w:i/>
          <w:sz w:val="22"/>
          <w:szCs w:val="22"/>
        </w:rPr>
      </w:pPr>
      <w:r>
        <w:rPr>
          <w:rFonts w:ascii="Times New Roman" w:hAnsi="Times New Roman" w:cs="Times New Roman"/>
          <w:sz w:val="22"/>
          <w:szCs w:val="22"/>
        </w:rPr>
        <w:t>I</w:t>
      </w:r>
      <w:r w:rsidR="007F6BA9" w:rsidRPr="007A5200">
        <w:rPr>
          <w:rFonts w:ascii="Times New Roman" w:hAnsi="Times New Roman" w:cs="Times New Roman"/>
          <w:sz w:val="22"/>
          <w:szCs w:val="22"/>
        </w:rPr>
        <w:t>t is imp</w:t>
      </w:r>
      <w:r>
        <w:rPr>
          <w:rFonts w:ascii="Times New Roman" w:hAnsi="Times New Roman" w:cs="Times New Roman"/>
          <w:sz w:val="22"/>
          <w:szCs w:val="22"/>
        </w:rPr>
        <w:t>ortant to keep in mind that the changes proposed in the earlier draft were</w:t>
      </w:r>
      <w:r w:rsidR="007F6BA9" w:rsidRPr="007A5200">
        <w:rPr>
          <w:rFonts w:ascii="Times New Roman" w:hAnsi="Times New Roman" w:cs="Times New Roman"/>
          <w:sz w:val="22"/>
          <w:szCs w:val="22"/>
        </w:rPr>
        <w:t xml:space="preserve"> actually just an attempt to enforce our </w:t>
      </w:r>
      <w:hyperlink r:id="rId8" w:history="1">
        <w:r w:rsidR="007F6BA9" w:rsidRPr="007A5200">
          <w:rPr>
            <w:rStyle w:val="Hyperlink"/>
            <w:rFonts w:ascii="Times New Roman" w:hAnsi="Times New Roman" w:cs="Times New Roman"/>
            <w:sz w:val="22"/>
            <w:szCs w:val="22"/>
          </w:rPr>
          <w:t>existing policies</w:t>
        </w:r>
      </w:hyperlink>
      <w:r w:rsidR="007F6BA9" w:rsidRPr="007A5200">
        <w:rPr>
          <w:rFonts w:ascii="Times New Roman" w:hAnsi="Times New Roman" w:cs="Times New Roman"/>
          <w:sz w:val="22"/>
          <w:szCs w:val="22"/>
        </w:rPr>
        <w:t xml:space="preserve">. Our current published deadline for submissions to </w:t>
      </w:r>
      <w:r w:rsidR="008A4C84" w:rsidRPr="007A5200">
        <w:rPr>
          <w:rFonts w:ascii="Times New Roman" w:hAnsi="Times New Roman" w:cs="Times New Roman"/>
          <w:sz w:val="22"/>
          <w:szCs w:val="22"/>
        </w:rPr>
        <w:t xml:space="preserve">the </w:t>
      </w:r>
      <w:r w:rsidR="007F6BA9" w:rsidRPr="007A5200">
        <w:rPr>
          <w:rFonts w:ascii="Times New Roman" w:hAnsi="Times New Roman" w:cs="Times New Roman"/>
          <w:sz w:val="22"/>
          <w:szCs w:val="22"/>
        </w:rPr>
        <w:t xml:space="preserve">OSP is 5 working days before the funding agency’s submission deadline.  Unfortunately, the existing 5-day deadline is increasingly </w:t>
      </w:r>
      <w:r w:rsidR="001C5637" w:rsidRPr="007A5200">
        <w:rPr>
          <w:rFonts w:ascii="Times New Roman" w:hAnsi="Times New Roman" w:cs="Times New Roman"/>
          <w:sz w:val="22"/>
          <w:szCs w:val="22"/>
        </w:rPr>
        <w:t>missed</w:t>
      </w:r>
      <w:r w:rsidR="007F6BA9" w:rsidRPr="007A5200">
        <w:rPr>
          <w:rFonts w:ascii="Times New Roman" w:hAnsi="Times New Roman" w:cs="Times New Roman"/>
          <w:sz w:val="22"/>
          <w:szCs w:val="22"/>
        </w:rPr>
        <w:t xml:space="preserve"> and there has been a growing trend toward last minute submissions. An analysis of our submission data </w:t>
      </w:r>
      <w:r w:rsidR="00A91462">
        <w:rPr>
          <w:rFonts w:ascii="Times New Roman" w:hAnsi="Times New Roman" w:cs="Times New Roman"/>
          <w:sz w:val="22"/>
          <w:szCs w:val="22"/>
        </w:rPr>
        <w:t xml:space="preserve">from last year </w:t>
      </w:r>
      <w:r w:rsidR="007F6BA9" w:rsidRPr="007A5200">
        <w:rPr>
          <w:rFonts w:ascii="Times New Roman" w:hAnsi="Times New Roman" w:cs="Times New Roman"/>
          <w:sz w:val="22"/>
          <w:szCs w:val="22"/>
        </w:rPr>
        <w:t>shows that over 40% of all proposals are submitted after the existing 5-day deadline, and most of those are submitted within 24 hours of the funding agency’s submission deadline. There is no denying that there are calls for proposals with relatively short timelines and that PIs are sometimes asked by colleagues, program managers, and foundations at the last minute to submit proposals. But the number of times this happens is far smaller than the numb</w:t>
      </w:r>
      <w:r w:rsidR="001C5637" w:rsidRPr="007A5200">
        <w:rPr>
          <w:rFonts w:ascii="Times New Roman" w:hAnsi="Times New Roman" w:cs="Times New Roman"/>
          <w:sz w:val="22"/>
          <w:szCs w:val="22"/>
        </w:rPr>
        <w:t>er of late proposals would suggest.</w:t>
      </w:r>
      <w:r w:rsidR="007F6BA9" w:rsidRPr="007A5200">
        <w:rPr>
          <w:rFonts w:ascii="Times New Roman" w:hAnsi="Times New Roman" w:cs="Times New Roman"/>
          <w:sz w:val="22"/>
          <w:szCs w:val="22"/>
        </w:rPr>
        <w:t xml:space="preserve"> The problem with late proposals, however, is not simply that they violate policy. The real problem is the extra cost, risk, and stress they entail. Our Director of Sponsored Projects, Rosa Gonzalez-Rosenblatt, audited our current submission practices and estimated that, last year alone, late proposals </w:t>
      </w:r>
      <w:r w:rsidR="007F6BA9" w:rsidRPr="007A5200">
        <w:rPr>
          <w:rFonts w:ascii="Times New Roman" w:hAnsi="Times New Roman" w:cs="Times New Roman"/>
          <w:sz w:val="22"/>
          <w:szCs w:val="22"/>
        </w:rPr>
        <w:lastRenderedPageBreak/>
        <w:t xml:space="preserve">cost UNM $2M in lost F&amp;A recovery and about 1.5 FTE in additional labor costs. This is real money that could be used to support faculty research. </w:t>
      </w:r>
    </w:p>
    <w:p w14:paraId="0E71F0F2" w14:textId="77777777" w:rsidR="00532F3C" w:rsidRPr="007A5200" w:rsidRDefault="00532F3C" w:rsidP="00532F3C">
      <w:pPr>
        <w:pStyle w:val="BodyA"/>
        <w:rPr>
          <w:rFonts w:ascii="Times New Roman" w:hAnsi="Times New Roman" w:cs="Times New Roman"/>
          <w:sz w:val="22"/>
          <w:szCs w:val="22"/>
        </w:rPr>
      </w:pPr>
    </w:p>
    <w:p w14:paraId="17533A1D" w14:textId="75738E50" w:rsidR="007F6BA9" w:rsidRPr="007A5200" w:rsidRDefault="007F6BA9" w:rsidP="00BE5E08">
      <w:pPr>
        <w:pStyle w:val="BodyA"/>
        <w:rPr>
          <w:rFonts w:ascii="Times New Roman" w:eastAsia="Helvetica" w:hAnsi="Times New Roman" w:cs="Times New Roman"/>
          <w:sz w:val="22"/>
          <w:szCs w:val="22"/>
        </w:rPr>
      </w:pPr>
      <w:r w:rsidRPr="007A5200">
        <w:rPr>
          <w:rFonts w:ascii="Times New Roman" w:hAnsi="Times New Roman" w:cs="Times New Roman"/>
          <w:sz w:val="22"/>
          <w:szCs w:val="22"/>
        </w:rPr>
        <w:t xml:space="preserve">Our current practice (as opposed to our policy) allows PIs to work on proposal packages up until the last minute, provided the budget </w:t>
      </w:r>
      <w:r w:rsidR="001820A3" w:rsidRPr="007A5200">
        <w:rPr>
          <w:rFonts w:ascii="Times New Roman" w:hAnsi="Times New Roman" w:cs="Times New Roman"/>
          <w:sz w:val="22"/>
          <w:szCs w:val="22"/>
        </w:rPr>
        <w:t xml:space="preserve">and budget justification are received in the </w:t>
      </w:r>
      <w:r w:rsidRPr="007A5200">
        <w:rPr>
          <w:rFonts w:ascii="Times New Roman" w:hAnsi="Times New Roman" w:cs="Times New Roman"/>
          <w:sz w:val="22"/>
          <w:szCs w:val="22"/>
        </w:rPr>
        <w:t>OSP 5 days in advance of the submission deadline. However, because there is no electronic research administration software package that can isolate the budget from the rest of the proposal package (we’re working on it), OSP staff are forced to check the budget multiple times during that 5-day period to determine whether it has been modified. Moreover, because approximately 90% of all proposal budgets are submitted with errors, it is typical for OSP staff, PIs, and department/center admin</w:t>
      </w:r>
      <w:r w:rsidR="001C5637" w:rsidRPr="007A5200">
        <w:rPr>
          <w:rFonts w:ascii="Times New Roman" w:hAnsi="Times New Roman" w:cs="Times New Roman"/>
          <w:sz w:val="22"/>
          <w:szCs w:val="22"/>
        </w:rPr>
        <w:t xml:space="preserve">istrators to engage in a series of </w:t>
      </w:r>
      <w:r w:rsidR="00A77388" w:rsidRPr="007A5200">
        <w:rPr>
          <w:rFonts w:ascii="Times New Roman" w:hAnsi="Times New Roman" w:cs="Times New Roman"/>
          <w:sz w:val="22"/>
          <w:szCs w:val="22"/>
        </w:rPr>
        <w:t xml:space="preserve">email and telephone exchanges right </w:t>
      </w:r>
      <w:r w:rsidR="001820A3" w:rsidRPr="007A5200">
        <w:rPr>
          <w:rFonts w:ascii="Times New Roman" w:hAnsi="Times New Roman" w:cs="Times New Roman"/>
          <w:sz w:val="22"/>
          <w:szCs w:val="22"/>
        </w:rPr>
        <w:t xml:space="preserve">up </w:t>
      </w:r>
      <w:r w:rsidRPr="007A5200">
        <w:rPr>
          <w:rFonts w:ascii="Times New Roman" w:hAnsi="Times New Roman" w:cs="Times New Roman"/>
          <w:sz w:val="22"/>
          <w:szCs w:val="22"/>
        </w:rPr>
        <w:t>to the last minute to make sure submitted budgets are both accurate and in compliance with agency and University guidelines. To compound the problem, too often the language in the body or technical sections of proposals, which we have heretofore allowed to be submitted at the last minute, contradicts or is inconsistent with submitted budgets, stipulates incorrect F&amp;A rates, and/or offers voluntary cost share or other unallowed institutional commitments. Given that OSP handles over 1200 separate proposal transactions a year, this time consuming iteration greatly increases staff workload and stress. Moreover, late submissions (i.e.</w:t>
      </w:r>
      <w:r w:rsidR="001820A3" w:rsidRPr="007A5200">
        <w:rPr>
          <w:rFonts w:ascii="Times New Roman" w:hAnsi="Times New Roman" w:cs="Times New Roman"/>
          <w:sz w:val="22"/>
          <w:szCs w:val="22"/>
        </w:rPr>
        <w:t xml:space="preserve"> after the 5 day deadline) </w:t>
      </w:r>
      <w:r w:rsidR="00A91462">
        <w:rPr>
          <w:rFonts w:ascii="Times New Roman" w:hAnsi="Times New Roman" w:cs="Times New Roman"/>
          <w:sz w:val="22"/>
          <w:szCs w:val="22"/>
        </w:rPr>
        <w:t>often</w:t>
      </w:r>
      <w:r w:rsidRPr="007A5200">
        <w:rPr>
          <w:rFonts w:ascii="Times New Roman" w:hAnsi="Times New Roman" w:cs="Times New Roman"/>
          <w:sz w:val="22"/>
          <w:szCs w:val="22"/>
        </w:rPr>
        <w:t xml:space="preserve"> do not afford sufficient time for review and correction before the </w:t>
      </w:r>
      <w:r w:rsidR="001820A3" w:rsidRPr="007A5200">
        <w:rPr>
          <w:rFonts w:ascii="Times New Roman" w:hAnsi="Times New Roman" w:cs="Times New Roman"/>
          <w:sz w:val="22"/>
          <w:szCs w:val="22"/>
        </w:rPr>
        <w:t>agency</w:t>
      </w:r>
      <w:r w:rsidRPr="007A5200">
        <w:rPr>
          <w:rFonts w:ascii="Times New Roman" w:hAnsi="Times New Roman" w:cs="Times New Roman"/>
          <w:sz w:val="22"/>
          <w:szCs w:val="22"/>
        </w:rPr>
        <w:t xml:space="preserve"> deadline, and sometimes results in the submission of un-reviewed and uncorrected proposals. This costs everyone (OVPR, academic units/centers, and PIs) money and puts UNM at substantial financial and legal risk. </w:t>
      </w:r>
    </w:p>
    <w:p w14:paraId="6EE91CF6" w14:textId="77777777" w:rsidR="007F6BA9" w:rsidRPr="007A5200" w:rsidRDefault="007F6BA9" w:rsidP="00532F3C">
      <w:pPr>
        <w:pStyle w:val="BodyA"/>
        <w:rPr>
          <w:rFonts w:ascii="Times New Roman" w:eastAsia="Helvetica" w:hAnsi="Times New Roman" w:cs="Times New Roman"/>
          <w:sz w:val="22"/>
          <w:szCs w:val="22"/>
        </w:rPr>
      </w:pPr>
    </w:p>
    <w:p w14:paraId="7CF6367F" w14:textId="219DDB66" w:rsidR="00532F3C" w:rsidRPr="007A5200" w:rsidRDefault="00D75E97" w:rsidP="00532F3C">
      <w:pPr>
        <w:pStyle w:val="BodyA"/>
        <w:rPr>
          <w:rFonts w:ascii="Times New Roman" w:eastAsia="Helvetica" w:hAnsi="Times New Roman" w:cs="Times New Roman"/>
          <w:i/>
          <w:sz w:val="22"/>
          <w:szCs w:val="22"/>
        </w:rPr>
      </w:pPr>
      <w:r>
        <w:rPr>
          <w:rFonts w:ascii="Times New Roman" w:eastAsia="Helvetica" w:hAnsi="Times New Roman" w:cs="Times New Roman"/>
          <w:i/>
          <w:sz w:val="22"/>
          <w:szCs w:val="22"/>
        </w:rPr>
        <w:t>The</w:t>
      </w:r>
      <w:r w:rsidR="00532F3C" w:rsidRPr="007A5200">
        <w:rPr>
          <w:rFonts w:ascii="Times New Roman" w:eastAsia="Helvetica" w:hAnsi="Times New Roman" w:cs="Times New Roman"/>
          <w:i/>
          <w:sz w:val="22"/>
          <w:szCs w:val="22"/>
        </w:rPr>
        <w:t xml:space="preserve"> </w:t>
      </w:r>
      <w:r w:rsidR="007A5200">
        <w:rPr>
          <w:rFonts w:ascii="Times New Roman" w:eastAsia="Helvetica" w:hAnsi="Times New Roman" w:cs="Times New Roman"/>
          <w:i/>
          <w:sz w:val="22"/>
          <w:szCs w:val="22"/>
        </w:rPr>
        <w:t>New Policy</w:t>
      </w:r>
    </w:p>
    <w:p w14:paraId="5AD3732C" w14:textId="77777777" w:rsidR="00532F3C" w:rsidRPr="007A5200" w:rsidRDefault="00532F3C" w:rsidP="00532F3C">
      <w:pPr>
        <w:pStyle w:val="BodyA"/>
        <w:rPr>
          <w:rFonts w:ascii="Times New Roman" w:eastAsia="Helvetica" w:hAnsi="Times New Roman" w:cs="Times New Roman"/>
          <w:sz w:val="22"/>
          <w:szCs w:val="22"/>
        </w:rPr>
      </w:pPr>
    </w:p>
    <w:p w14:paraId="5F89C9A1" w14:textId="2CC859C6" w:rsidR="00BB0FCD" w:rsidRPr="001E69DA" w:rsidRDefault="007F6BA9" w:rsidP="00BE5E08">
      <w:pPr>
        <w:pStyle w:val="BodyA"/>
        <w:rPr>
          <w:rFonts w:ascii="Times New Roman" w:hAnsi="Times New Roman" w:cs="Times New Roman"/>
          <w:sz w:val="22"/>
          <w:szCs w:val="22"/>
        </w:rPr>
      </w:pPr>
      <w:r w:rsidRPr="007A5200">
        <w:rPr>
          <w:rFonts w:ascii="Times New Roman" w:hAnsi="Times New Roman" w:cs="Times New Roman"/>
          <w:sz w:val="22"/>
          <w:szCs w:val="22"/>
        </w:rPr>
        <w:t xml:space="preserve">The proposed policy changes that were circulated in May were an attempt to rectify </w:t>
      </w:r>
      <w:r w:rsidR="001E69DA">
        <w:rPr>
          <w:rFonts w:ascii="Times New Roman" w:hAnsi="Times New Roman" w:cs="Times New Roman"/>
          <w:sz w:val="22"/>
          <w:szCs w:val="22"/>
        </w:rPr>
        <w:t>the problems identified with our current submission practices</w:t>
      </w:r>
      <w:r w:rsidRPr="007A5200">
        <w:rPr>
          <w:rFonts w:ascii="Times New Roman" w:hAnsi="Times New Roman" w:cs="Times New Roman"/>
          <w:sz w:val="22"/>
          <w:szCs w:val="22"/>
        </w:rPr>
        <w:t xml:space="preserve">. However, in response to the feedback we received from faculty and administrative staff, we have modified those changes. The full final policy is attached to this email, but I will summarize the major changes here. </w:t>
      </w:r>
      <w:r w:rsidR="00D5396D">
        <w:rPr>
          <w:rFonts w:ascii="Times New Roman" w:hAnsi="Times New Roman" w:cs="Times New Roman"/>
          <w:b/>
          <w:sz w:val="22"/>
          <w:szCs w:val="22"/>
        </w:rPr>
        <w:t xml:space="preserve">Please note, this policy will be implemented on September 1, 2015. </w:t>
      </w:r>
      <w:r w:rsidRPr="007A5200">
        <w:rPr>
          <w:rFonts w:ascii="Times New Roman" w:hAnsi="Times New Roman" w:cs="Times New Roman"/>
          <w:sz w:val="22"/>
          <w:szCs w:val="22"/>
        </w:rPr>
        <w:t xml:space="preserve">We will still stick with a </w:t>
      </w:r>
      <w:r w:rsidRPr="007A5200">
        <w:rPr>
          <w:rFonts w:ascii="Times New Roman" w:hAnsi="Times New Roman" w:cs="Times New Roman"/>
          <w:b/>
          <w:color w:val="auto"/>
          <w:sz w:val="22"/>
          <w:szCs w:val="22"/>
        </w:rPr>
        <w:t>5-working day deadline</w:t>
      </w:r>
      <w:r w:rsidRPr="007A5200">
        <w:rPr>
          <w:rFonts w:ascii="Times New Roman" w:hAnsi="Times New Roman" w:cs="Times New Roman"/>
          <w:sz w:val="22"/>
          <w:szCs w:val="22"/>
        </w:rPr>
        <w:t xml:space="preserve"> </w:t>
      </w:r>
      <w:r w:rsidRPr="007A5200">
        <w:rPr>
          <w:rFonts w:ascii="Times New Roman" w:hAnsi="Times New Roman" w:cs="Times New Roman"/>
          <w:b/>
          <w:sz w:val="22"/>
          <w:szCs w:val="22"/>
        </w:rPr>
        <w:t>for the submission of</w:t>
      </w:r>
      <w:r w:rsidRPr="007A5200">
        <w:rPr>
          <w:rFonts w:ascii="Times New Roman" w:hAnsi="Times New Roman" w:cs="Times New Roman"/>
          <w:sz w:val="22"/>
          <w:szCs w:val="22"/>
        </w:rPr>
        <w:t xml:space="preserve"> </w:t>
      </w:r>
      <w:r w:rsidRPr="007A5200">
        <w:rPr>
          <w:rFonts w:ascii="Times New Roman" w:hAnsi="Times New Roman" w:cs="Times New Roman"/>
          <w:b/>
          <w:color w:val="auto"/>
          <w:sz w:val="22"/>
          <w:szCs w:val="22"/>
        </w:rPr>
        <w:t>budgets, budget justifications, all routing queue certifications and approvals</w:t>
      </w:r>
      <w:r w:rsidRPr="007A5200">
        <w:rPr>
          <w:rFonts w:ascii="Times New Roman" w:hAnsi="Times New Roman" w:cs="Times New Roman"/>
          <w:b/>
          <w:color w:val="FF0000"/>
          <w:sz w:val="22"/>
          <w:szCs w:val="22"/>
        </w:rPr>
        <w:t xml:space="preserve"> </w:t>
      </w:r>
      <w:r w:rsidRPr="007A5200">
        <w:rPr>
          <w:rFonts w:ascii="Times New Roman" w:hAnsi="Times New Roman" w:cs="Times New Roman"/>
          <w:sz w:val="22"/>
          <w:szCs w:val="22"/>
        </w:rPr>
        <w:t xml:space="preserve">(see </w:t>
      </w:r>
      <w:r w:rsidR="001820A3" w:rsidRPr="007A5200">
        <w:rPr>
          <w:rFonts w:ascii="Times New Roman" w:hAnsi="Times New Roman" w:cs="Times New Roman"/>
          <w:sz w:val="22"/>
          <w:szCs w:val="22"/>
        </w:rPr>
        <w:t>the attached policy</w:t>
      </w:r>
      <w:r w:rsidRPr="007A5200">
        <w:rPr>
          <w:rFonts w:ascii="Times New Roman" w:hAnsi="Times New Roman" w:cs="Times New Roman"/>
          <w:sz w:val="22"/>
          <w:szCs w:val="22"/>
        </w:rPr>
        <w:t xml:space="preserve"> for a complete list of required documents). </w:t>
      </w:r>
      <w:r w:rsidR="00F35789" w:rsidRPr="007A5200">
        <w:rPr>
          <w:rFonts w:ascii="Times New Roman" w:hAnsi="Times New Roman" w:cs="Times New Roman"/>
          <w:sz w:val="22"/>
          <w:szCs w:val="22"/>
        </w:rPr>
        <w:t>Once budgets are submitted, PIs and administrative staff will be asked not to make any changes without directly notifying the OSP staff assigned to the proposal</w:t>
      </w:r>
      <w:r w:rsidR="00F35789" w:rsidRPr="007A5200">
        <w:rPr>
          <w:rFonts w:ascii="Times New Roman" w:hAnsi="Times New Roman" w:cs="Times New Roman"/>
          <w:b/>
          <w:sz w:val="22"/>
          <w:szCs w:val="22"/>
        </w:rPr>
        <w:t xml:space="preserve">. </w:t>
      </w:r>
      <w:r w:rsidR="00F35789" w:rsidRPr="007A5200">
        <w:rPr>
          <w:rFonts w:ascii="Times New Roman" w:hAnsi="Times New Roman" w:cs="Times New Roman"/>
          <w:sz w:val="22"/>
          <w:szCs w:val="22"/>
        </w:rPr>
        <w:t xml:space="preserve">OSP staff, however, will be able to modify submitted budgets and will communicate all changes to the PI and/or administrator. </w:t>
      </w:r>
      <w:r w:rsidRPr="007A5200">
        <w:rPr>
          <w:rFonts w:ascii="Times New Roman" w:hAnsi="Times New Roman" w:cs="Times New Roman"/>
          <w:b/>
          <w:sz w:val="22"/>
          <w:szCs w:val="22"/>
        </w:rPr>
        <w:t>The</w:t>
      </w:r>
      <w:r w:rsidRPr="007A5200">
        <w:rPr>
          <w:rFonts w:ascii="Times New Roman" w:hAnsi="Times New Roman" w:cs="Times New Roman"/>
          <w:sz w:val="22"/>
          <w:szCs w:val="22"/>
        </w:rPr>
        <w:t xml:space="preserve"> </w:t>
      </w:r>
      <w:r w:rsidRPr="007A5200">
        <w:rPr>
          <w:rFonts w:ascii="Times New Roman" w:hAnsi="Times New Roman" w:cs="Times New Roman"/>
          <w:b/>
          <w:color w:val="auto"/>
          <w:sz w:val="22"/>
          <w:szCs w:val="22"/>
        </w:rPr>
        <w:t>technical sections of proposals can be submitted later but will be held to a 2-working day deadline</w:t>
      </w:r>
      <w:r w:rsidRPr="001E69DA">
        <w:rPr>
          <w:rFonts w:ascii="Times New Roman" w:hAnsi="Times New Roman" w:cs="Times New Roman"/>
          <w:b/>
          <w:color w:val="auto"/>
          <w:sz w:val="22"/>
          <w:szCs w:val="22"/>
        </w:rPr>
        <w:t xml:space="preserve">. </w:t>
      </w:r>
      <w:r w:rsidR="004F0635" w:rsidRPr="001E69DA">
        <w:rPr>
          <w:rFonts w:ascii="Times New Roman" w:hAnsi="Times New Roman" w:cs="Times New Roman"/>
          <w:b/>
          <w:color w:val="auto"/>
          <w:sz w:val="22"/>
          <w:szCs w:val="22"/>
        </w:rPr>
        <w:t>All</w:t>
      </w:r>
      <w:r w:rsidR="00F35789" w:rsidRPr="001E69DA">
        <w:rPr>
          <w:rFonts w:ascii="Times New Roman" w:hAnsi="Times New Roman" w:cs="Times New Roman"/>
          <w:b/>
          <w:color w:val="auto"/>
          <w:sz w:val="22"/>
          <w:szCs w:val="22"/>
        </w:rPr>
        <w:t xml:space="preserve"> proposals that are submitted </w:t>
      </w:r>
      <w:r w:rsidR="001E69DA">
        <w:rPr>
          <w:rFonts w:ascii="Times New Roman" w:hAnsi="Times New Roman" w:cs="Times New Roman"/>
          <w:b/>
          <w:color w:val="auto"/>
          <w:sz w:val="22"/>
          <w:szCs w:val="22"/>
        </w:rPr>
        <w:t xml:space="preserve">to the OSP </w:t>
      </w:r>
      <w:r w:rsidR="00F35789" w:rsidRPr="001E69DA">
        <w:rPr>
          <w:rFonts w:ascii="Times New Roman" w:hAnsi="Times New Roman" w:cs="Times New Roman"/>
          <w:b/>
          <w:color w:val="auto"/>
          <w:sz w:val="22"/>
          <w:szCs w:val="22"/>
        </w:rPr>
        <w:t>on time and are in accord with University, state</w:t>
      </w:r>
      <w:r w:rsidR="004F0635" w:rsidRPr="001E69DA">
        <w:rPr>
          <w:rFonts w:ascii="Times New Roman" w:hAnsi="Times New Roman" w:cs="Times New Roman"/>
          <w:b/>
          <w:color w:val="auto"/>
          <w:sz w:val="22"/>
          <w:szCs w:val="22"/>
        </w:rPr>
        <w:t>, and federal guidelines will be submitted to the funding agency</w:t>
      </w:r>
      <w:r w:rsidR="00F35789" w:rsidRPr="001E69DA">
        <w:rPr>
          <w:rFonts w:ascii="Times New Roman" w:hAnsi="Times New Roman" w:cs="Times New Roman"/>
          <w:color w:val="auto"/>
          <w:sz w:val="22"/>
          <w:szCs w:val="22"/>
        </w:rPr>
        <w:t xml:space="preserve">. </w:t>
      </w:r>
      <w:r w:rsidR="00F35789" w:rsidRPr="007A5200">
        <w:rPr>
          <w:rFonts w:ascii="Times New Roman" w:hAnsi="Times New Roman" w:cs="Times New Roman"/>
          <w:b/>
          <w:color w:val="FF0000"/>
          <w:sz w:val="22"/>
          <w:szCs w:val="22"/>
        </w:rPr>
        <w:t>However</w:t>
      </w:r>
      <w:r w:rsidRPr="007A5200">
        <w:rPr>
          <w:rFonts w:ascii="Times New Roman" w:hAnsi="Times New Roman" w:cs="Times New Roman"/>
          <w:b/>
          <w:color w:val="FF0000"/>
          <w:sz w:val="22"/>
          <w:szCs w:val="22"/>
        </w:rPr>
        <w:t xml:space="preserve">, proposals submitted to </w:t>
      </w:r>
      <w:r w:rsidR="00F35789" w:rsidRPr="007A5200">
        <w:rPr>
          <w:rFonts w:ascii="Times New Roman" w:hAnsi="Times New Roman" w:cs="Times New Roman"/>
          <w:b/>
          <w:color w:val="FF0000"/>
          <w:sz w:val="22"/>
          <w:szCs w:val="22"/>
        </w:rPr>
        <w:t xml:space="preserve">the </w:t>
      </w:r>
      <w:r w:rsidRPr="007A5200">
        <w:rPr>
          <w:rFonts w:ascii="Times New Roman" w:hAnsi="Times New Roman" w:cs="Times New Roman"/>
          <w:b/>
          <w:color w:val="FF0000"/>
          <w:sz w:val="22"/>
          <w:szCs w:val="22"/>
        </w:rPr>
        <w:t>OSP within 2-working d</w:t>
      </w:r>
      <w:r w:rsidR="001820A3" w:rsidRPr="007A5200">
        <w:rPr>
          <w:rFonts w:ascii="Times New Roman" w:hAnsi="Times New Roman" w:cs="Times New Roman"/>
          <w:b/>
          <w:color w:val="FF0000"/>
          <w:sz w:val="22"/>
          <w:szCs w:val="22"/>
        </w:rPr>
        <w:t xml:space="preserve">ays of the </w:t>
      </w:r>
      <w:r w:rsidR="00F35789" w:rsidRPr="007A5200">
        <w:rPr>
          <w:rFonts w:ascii="Times New Roman" w:hAnsi="Times New Roman" w:cs="Times New Roman"/>
          <w:b/>
          <w:color w:val="FF0000"/>
          <w:sz w:val="22"/>
          <w:szCs w:val="22"/>
        </w:rPr>
        <w:t xml:space="preserve">funding </w:t>
      </w:r>
      <w:r w:rsidR="001820A3" w:rsidRPr="007A5200">
        <w:rPr>
          <w:rFonts w:ascii="Times New Roman" w:hAnsi="Times New Roman" w:cs="Times New Roman"/>
          <w:b/>
          <w:color w:val="FF0000"/>
          <w:sz w:val="22"/>
          <w:szCs w:val="22"/>
        </w:rPr>
        <w:t>agency</w:t>
      </w:r>
      <w:r w:rsidR="00F35789" w:rsidRPr="007A5200">
        <w:rPr>
          <w:rFonts w:ascii="Times New Roman" w:hAnsi="Times New Roman" w:cs="Times New Roman"/>
          <w:b/>
          <w:color w:val="FF0000"/>
          <w:sz w:val="22"/>
          <w:szCs w:val="22"/>
        </w:rPr>
        <w:t>’s</w:t>
      </w:r>
      <w:r w:rsidR="001820A3" w:rsidRPr="007A5200">
        <w:rPr>
          <w:rFonts w:ascii="Times New Roman" w:hAnsi="Times New Roman" w:cs="Times New Roman"/>
          <w:b/>
          <w:color w:val="FF0000"/>
          <w:sz w:val="22"/>
          <w:szCs w:val="22"/>
        </w:rPr>
        <w:t xml:space="preserve"> submission deadline </w:t>
      </w:r>
      <w:r w:rsidRPr="007A5200">
        <w:rPr>
          <w:rFonts w:ascii="Times New Roman" w:hAnsi="Times New Roman" w:cs="Times New Roman"/>
          <w:b/>
          <w:color w:val="FF0000"/>
          <w:sz w:val="22"/>
          <w:szCs w:val="22"/>
        </w:rPr>
        <w:t>will not b</w:t>
      </w:r>
      <w:r w:rsidR="00F35789" w:rsidRPr="007A5200">
        <w:rPr>
          <w:rFonts w:ascii="Times New Roman" w:hAnsi="Times New Roman" w:cs="Times New Roman"/>
          <w:b/>
          <w:color w:val="FF0000"/>
          <w:sz w:val="22"/>
          <w:szCs w:val="22"/>
        </w:rPr>
        <w:t>e submitted</w:t>
      </w:r>
      <w:r w:rsidRPr="007A5200">
        <w:rPr>
          <w:rFonts w:ascii="Times New Roman" w:hAnsi="Times New Roman" w:cs="Times New Roman"/>
          <w:sz w:val="22"/>
          <w:szCs w:val="22"/>
        </w:rPr>
        <w:t xml:space="preserve">. </w:t>
      </w:r>
      <w:r w:rsidRPr="007A5200">
        <w:rPr>
          <w:rFonts w:ascii="Times New Roman" w:hAnsi="Times New Roman" w:cs="Times New Roman"/>
          <w:b/>
          <w:sz w:val="22"/>
          <w:szCs w:val="22"/>
        </w:rPr>
        <w:t>Proposal packages submitted between the 5-day and 2-day deadlines may be reviewed and submitted, but they will not be reviewed ahead of any complete proposals already in the queue, and submission is not guaranteed.</w:t>
      </w:r>
      <w:r w:rsidRPr="007A5200">
        <w:rPr>
          <w:rFonts w:ascii="Times New Roman" w:hAnsi="Times New Roman" w:cs="Times New Roman"/>
          <w:sz w:val="22"/>
          <w:szCs w:val="22"/>
        </w:rPr>
        <w:t xml:space="preserve"> </w:t>
      </w:r>
      <w:r w:rsidR="00E22525" w:rsidRPr="007A5200">
        <w:rPr>
          <w:rFonts w:ascii="Times New Roman" w:hAnsi="Times New Roman" w:cs="Times New Roman"/>
          <w:sz w:val="22"/>
          <w:szCs w:val="22"/>
        </w:rPr>
        <w:t>I would add, by the way, that the deadlines we are enforcing are clearly in line with those at other universities and more generous than many. Our own HSC, for example, has a 10-day submission deadline to their Sponsored Projects Office</w:t>
      </w:r>
    </w:p>
    <w:p w14:paraId="2CB5D775" w14:textId="77777777" w:rsidR="00BB0FCD" w:rsidRPr="007A5200" w:rsidRDefault="00BB0FCD" w:rsidP="00BB0FCD">
      <w:pPr>
        <w:pStyle w:val="BodyA"/>
        <w:ind w:firstLine="720"/>
        <w:rPr>
          <w:rFonts w:ascii="Times New Roman" w:hAnsi="Times New Roman" w:cs="Times New Roman"/>
          <w:sz w:val="22"/>
          <w:szCs w:val="22"/>
        </w:rPr>
      </w:pPr>
    </w:p>
    <w:p w14:paraId="05CBA132" w14:textId="1B5067CD" w:rsidR="00532F3C" w:rsidRPr="00A91462" w:rsidRDefault="00B43FA5" w:rsidP="00BE5E08">
      <w:pPr>
        <w:pStyle w:val="BodyA"/>
        <w:rPr>
          <w:rFonts w:ascii="Times New Roman" w:hAnsi="Times New Roman" w:cs="Times New Roman"/>
          <w:color w:val="auto"/>
          <w:sz w:val="22"/>
          <w:szCs w:val="22"/>
        </w:rPr>
      </w:pPr>
      <w:r w:rsidRPr="00A91462">
        <w:rPr>
          <w:rFonts w:ascii="Times New Roman" w:hAnsi="Times New Roman" w:cs="Times New Roman"/>
          <w:color w:val="auto"/>
          <w:sz w:val="22"/>
          <w:szCs w:val="22"/>
        </w:rPr>
        <w:t xml:space="preserve">In the previous draft, there was mention of a </w:t>
      </w:r>
      <w:r w:rsidR="009B6514" w:rsidRPr="00A91462">
        <w:rPr>
          <w:rFonts w:ascii="Times New Roman" w:hAnsi="Times New Roman" w:cs="Times New Roman"/>
          <w:color w:val="auto"/>
          <w:sz w:val="22"/>
          <w:szCs w:val="22"/>
        </w:rPr>
        <w:t xml:space="preserve">$500 </w:t>
      </w:r>
      <w:r w:rsidRPr="00A91462">
        <w:rPr>
          <w:rFonts w:ascii="Times New Roman" w:hAnsi="Times New Roman" w:cs="Times New Roman"/>
          <w:color w:val="auto"/>
          <w:sz w:val="22"/>
          <w:szCs w:val="22"/>
        </w:rPr>
        <w:t xml:space="preserve">penalty </w:t>
      </w:r>
      <w:r w:rsidR="007771A6" w:rsidRPr="00A91462">
        <w:rPr>
          <w:rFonts w:ascii="Times New Roman" w:hAnsi="Times New Roman" w:cs="Times New Roman"/>
          <w:color w:val="auto"/>
          <w:sz w:val="22"/>
          <w:szCs w:val="22"/>
        </w:rPr>
        <w:t xml:space="preserve">or service fee </w:t>
      </w:r>
      <w:r w:rsidRPr="00A91462">
        <w:rPr>
          <w:rFonts w:ascii="Times New Roman" w:hAnsi="Times New Roman" w:cs="Times New Roman"/>
          <w:color w:val="auto"/>
          <w:sz w:val="22"/>
          <w:szCs w:val="22"/>
        </w:rPr>
        <w:t>in the form of a reduction in F&amp;A allocation for late submissions. As expected, that proposal</w:t>
      </w:r>
      <w:r w:rsidR="00EE2F19" w:rsidRPr="00A91462">
        <w:rPr>
          <w:rFonts w:ascii="Times New Roman" w:hAnsi="Times New Roman" w:cs="Times New Roman"/>
          <w:color w:val="auto"/>
          <w:sz w:val="22"/>
          <w:szCs w:val="22"/>
        </w:rPr>
        <w:t xml:space="preserve"> </w:t>
      </w:r>
      <w:r w:rsidR="007B058E" w:rsidRPr="00A91462">
        <w:rPr>
          <w:rFonts w:ascii="Times New Roman" w:hAnsi="Times New Roman" w:cs="Times New Roman"/>
          <w:color w:val="auto"/>
          <w:sz w:val="22"/>
          <w:szCs w:val="22"/>
        </w:rPr>
        <w:t xml:space="preserve">prompted a number of responses </w:t>
      </w:r>
      <w:r w:rsidR="00F32ABA" w:rsidRPr="00A91462">
        <w:rPr>
          <w:rFonts w:ascii="Times New Roman" w:hAnsi="Times New Roman" w:cs="Times New Roman"/>
          <w:color w:val="auto"/>
          <w:sz w:val="22"/>
          <w:szCs w:val="22"/>
        </w:rPr>
        <w:t>raging from puzzlement to outrage</w:t>
      </w:r>
      <w:r w:rsidR="00BB0FCD" w:rsidRPr="00A91462">
        <w:rPr>
          <w:rFonts w:ascii="Times New Roman" w:hAnsi="Times New Roman" w:cs="Times New Roman"/>
          <w:color w:val="auto"/>
          <w:sz w:val="22"/>
          <w:szCs w:val="22"/>
        </w:rPr>
        <w:t xml:space="preserve">. </w:t>
      </w:r>
      <w:r w:rsidR="00B97CA5" w:rsidRPr="00A91462">
        <w:rPr>
          <w:rFonts w:ascii="Times New Roman" w:hAnsi="Times New Roman" w:cs="Times New Roman"/>
          <w:color w:val="auto"/>
          <w:sz w:val="22"/>
          <w:szCs w:val="22"/>
        </w:rPr>
        <w:t xml:space="preserve">We were reluctant </w:t>
      </w:r>
      <w:r w:rsidR="009B6514" w:rsidRPr="00A91462">
        <w:rPr>
          <w:rFonts w:ascii="Times New Roman" w:hAnsi="Times New Roman" w:cs="Times New Roman"/>
          <w:color w:val="auto"/>
          <w:sz w:val="22"/>
          <w:szCs w:val="22"/>
        </w:rPr>
        <w:t xml:space="preserve">from the beginning </w:t>
      </w:r>
      <w:r w:rsidR="00B97CA5" w:rsidRPr="00A91462">
        <w:rPr>
          <w:rFonts w:ascii="Times New Roman" w:hAnsi="Times New Roman" w:cs="Times New Roman"/>
          <w:color w:val="auto"/>
          <w:sz w:val="22"/>
          <w:szCs w:val="22"/>
        </w:rPr>
        <w:t xml:space="preserve">to go the </w:t>
      </w:r>
      <w:r w:rsidR="007771A6" w:rsidRPr="00A91462">
        <w:rPr>
          <w:rFonts w:ascii="Times New Roman" w:hAnsi="Times New Roman" w:cs="Times New Roman"/>
          <w:color w:val="auto"/>
          <w:sz w:val="22"/>
          <w:szCs w:val="22"/>
        </w:rPr>
        <w:t>service fee</w:t>
      </w:r>
      <w:r w:rsidR="00B97CA5" w:rsidRPr="00A91462">
        <w:rPr>
          <w:rFonts w:ascii="Times New Roman" w:hAnsi="Times New Roman" w:cs="Times New Roman"/>
          <w:color w:val="auto"/>
          <w:sz w:val="22"/>
          <w:szCs w:val="22"/>
        </w:rPr>
        <w:t xml:space="preserve"> route because we knew it </w:t>
      </w:r>
      <w:r w:rsidRPr="00A91462">
        <w:rPr>
          <w:rFonts w:ascii="Times New Roman" w:hAnsi="Times New Roman" w:cs="Times New Roman"/>
          <w:color w:val="auto"/>
          <w:sz w:val="22"/>
          <w:szCs w:val="22"/>
        </w:rPr>
        <w:t>would be controvers</w:t>
      </w:r>
      <w:r w:rsidR="00B97CA5" w:rsidRPr="00A91462">
        <w:rPr>
          <w:rFonts w:ascii="Times New Roman" w:hAnsi="Times New Roman" w:cs="Times New Roman"/>
          <w:color w:val="auto"/>
          <w:sz w:val="22"/>
          <w:szCs w:val="22"/>
        </w:rPr>
        <w:t>ial, that it</w:t>
      </w:r>
      <w:r w:rsidRPr="00A91462">
        <w:rPr>
          <w:rFonts w:ascii="Times New Roman" w:hAnsi="Times New Roman" w:cs="Times New Roman"/>
          <w:color w:val="auto"/>
          <w:sz w:val="22"/>
          <w:szCs w:val="22"/>
        </w:rPr>
        <w:t xml:space="preserve"> smacks of administrative insensitivity</w:t>
      </w:r>
      <w:r w:rsidR="00B97CA5" w:rsidRPr="00A91462">
        <w:rPr>
          <w:rFonts w:ascii="Times New Roman" w:hAnsi="Times New Roman" w:cs="Times New Roman"/>
          <w:color w:val="auto"/>
          <w:sz w:val="22"/>
          <w:szCs w:val="22"/>
        </w:rPr>
        <w:t>,</w:t>
      </w:r>
      <w:r w:rsidRPr="00A91462">
        <w:rPr>
          <w:rFonts w:ascii="Times New Roman" w:hAnsi="Times New Roman" w:cs="Times New Roman"/>
          <w:color w:val="auto"/>
          <w:sz w:val="22"/>
          <w:szCs w:val="22"/>
        </w:rPr>
        <w:t xml:space="preserve"> and </w:t>
      </w:r>
      <w:r w:rsidR="00B97CA5" w:rsidRPr="00A91462">
        <w:rPr>
          <w:rFonts w:ascii="Times New Roman" w:hAnsi="Times New Roman" w:cs="Times New Roman"/>
          <w:color w:val="auto"/>
          <w:sz w:val="22"/>
          <w:szCs w:val="22"/>
        </w:rPr>
        <w:t>that it might contribute to an “us vs. them” mentality</w:t>
      </w:r>
      <w:r w:rsidR="002B6210" w:rsidRPr="00A91462">
        <w:rPr>
          <w:rFonts w:ascii="Times New Roman" w:hAnsi="Times New Roman" w:cs="Times New Roman"/>
          <w:color w:val="auto"/>
          <w:sz w:val="22"/>
          <w:szCs w:val="22"/>
        </w:rPr>
        <w:t xml:space="preserve">. </w:t>
      </w:r>
      <w:r w:rsidR="00BE5E08" w:rsidRPr="00A91462">
        <w:rPr>
          <w:rFonts w:ascii="Times New Roman" w:hAnsi="Times New Roman" w:cs="Times New Roman"/>
          <w:color w:val="auto"/>
          <w:sz w:val="22"/>
          <w:szCs w:val="22"/>
        </w:rPr>
        <w:t>This, of course, is not our inte</w:t>
      </w:r>
      <w:r w:rsidR="008A4C84" w:rsidRPr="00A91462">
        <w:rPr>
          <w:rFonts w:ascii="Times New Roman" w:hAnsi="Times New Roman" w:cs="Times New Roman"/>
          <w:color w:val="auto"/>
          <w:sz w:val="22"/>
          <w:szCs w:val="22"/>
        </w:rPr>
        <w:t>nt,</w:t>
      </w:r>
      <w:r w:rsidR="00BE5E08" w:rsidRPr="00A91462">
        <w:rPr>
          <w:rFonts w:ascii="Times New Roman" w:hAnsi="Times New Roman" w:cs="Times New Roman"/>
          <w:color w:val="auto"/>
          <w:sz w:val="22"/>
          <w:szCs w:val="22"/>
        </w:rPr>
        <w:t xml:space="preserve"> </w:t>
      </w:r>
      <w:r w:rsidR="008A4C84" w:rsidRPr="00A91462">
        <w:rPr>
          <w:rFonts w:ascii="Times New Roman" w:hAnsi="Times New Roman" w:cs="Times New Roman"/>
          <w:color w:val="auto"/>
          <w:sz w:val="22"/>
          <w:szCs w:val="22"/>
        </w:rPr>
        <w:t>but our attempts</w:t>
      </w:r>
      <w:r w:rsidRPr="00A91462">
        <w:rPr>
          <w:rFonts w:ascii="Times New Roman" w:hAnsi="Times New Roman" w:cs="Times New Roman"/>
          <w:color w:val="auto"/>
          <w:sz w:val="22"/>
          <w:szCs w:val="22"/>
        </w:rPr>
        <w:t xml:space="preserve"> to address this</w:t>
      </w:r>
      <w:r w:rsidR="00BE5E08" w:rsidRPr="00A91462">
        <w:rPr>
          <w:rFonts w:ascii="Times New Roman" w:hAnsi="Times New Roman" w:cs="Times New Roman"/>
          <w:color w:val="auto"/>
          <w:sz w:val="22"/>
          <w:szCs w:val="22"/>
        </w:rPr>
        <w:t xml:space="preserve"> problem in other ways</w:t>
      </w:r>
      <w:r w:rsidR="008A4C84" w:rsidRPr="00A91462">
        <w:rPr>
          <w:rFonts w:ascii="Times New Roman" w:hAnsi="Times New Roman" w:cs="Times New Roman"/>
          <w:color w:val="auto"/>
          <w:sz w:val="22"/>
          <w:szCs w:val="22"/>
        </w:rPr>
        <w:t xml:space="preserve"> have met with little success</w:t>
      </w:r>
      <w:r w:rsidR="009B6514" w:rsidRPr="00A91462">
        <w:rPr>
          <w:rFonts w:ascii="Times New Roman" w:hAnsi="Times New Roman" w:cs="Times New Roman"/>
          <w:color w:val="auto"/>
          <w:sz w:val="22"/>
          <w:szCs w:val="22"/>
        </w:rPr>
        <w:t>. It is possible, howeve</w:t>
      </w:r>
      <w:r w:rsidR="008768C9" w:rsidRPr="00A91462">
        <w:rPr>
          <w:rFonts w:ascii="Times New Roman" w:hAnsi="Times New Roman" w:cs="Times New Roman"/>
          <w:color w:val="auto"/>
          <w:sz w:val="22"/>
          <w:szCs w:val="22"/>
        </w:rPr>
        <w:t>r, that enforcement of the</w:t>
      </w:r>
      <w:r w:rsidR="007C5D86" w:rsidRPr="00A91462">
        <w:rPr>
          <w:rFonts w:ascii="Times New Roman" w:hAnsi="Times New Roman" w:cs="Times New Roman"/>
          <w:color w:val="auto"/>
          <w:sz w:val="22"/>
          <w:szCs w:val="22"/>
        </w:rPr>
        <w:t xml:space="preserve"> new submission policies may </w:t>
      </w:r>
      <w:r w:rsidR="008768C9" w:rsidRPr="00A91462">
        <w:rPr>
          <w:rFonts w:ascii="Times New Roman" w:hAnsi="Times New Roman" w:cs="Times New Roman"/>
          <w:color w:val="auto"/>
          <w:sz w:val="22"/>
          <w:szCs w:val="22"/>
        </w:rPr>
        <w:t xml:space="preserve">in themselves </w:t>
      </w:r>
      <w:r w:rsidR="006B0673" w:rsidRPr="00A91462">
        <w:rPr>
          <w:rFonts w:ascii="Times New Roman" w:hAnsi="Times New Roman" w:cs="Times New Roman"/>
          <w:color w:val="auto"/>
          <w:sz w:val="22"/>
          <w:szCs w:val="22"/>
        </w:rPr>
        <w:t xml:space="preserve">substantially </w:t>
      </w:r>
      <w:r w:rsidR="008768C9" w:rsidRPr="00A91462">
        <w:rPr>
          <w:rFonts w:ascii="Times New Roman" w:hAnsi="Times New Roman" w:cs="Times New Roman"/>
          <w:color w:val="auto"/>
          <w:sz w:val="22"/>
          <w:szCs w:val="22"/>
        </w:rPr>
        <w:t>reduce the number of late submissions without</w:t>
      </w:r>
      <w:r w:rsidR="007C5D86" w:rsidRPr="00A91462">
        <w:rPr>
          <w:rFonts w:ascii="Times New Roman" w:hAnsi="Times New Roman" w:cs="Times New Roman"/>
          <w:color w:val="auto"/>
          <w:sz w:val="22"/>
          <w:szCs w:val="22"/>
        </w:rPr>
        <w:t xml:space="preserve"> </w:t>
      </w:r>
      <w:r w:rsidR="00E61C4C" w:rsidRPr="00A91462">
        <w:rPr>
          <w:rFonts w:ascii="Times New Roman" w:hAnsi="Times New Roman" w:cs="Times New Roman"/>
          <w:color w:val="auto"/>
          <w:sz w:val="22"/>
          <w:szCs w:val="22"/>
        </w:rPr>
        <w:t>the potential downside of imposing penalties.</w:t>
      </w:r>
      <w:r w:rsidR="00E22525" w:rsidRPr="00A91462">
        <w:rPr>
          <w:rFonts w:ascii="Times New Roman" w:hAnsi="Times New Roman" w:cs="Times New Roman"/>
          <w:color w:val="auto"/>
          <w:sz w:val="22"/>
          <w:szCs w:val="22"/>
        </w:rPr>
        <w:t xml:space="preserve"> </w:t>
      </w:r>
      <w:r w:rsidR="008768C9" w:rsidRPr="00A91462">
        <w:rPr>
          <w:rFonts w:ascii="Times New Roman" w:hAnsi="Times New Roman" w:cs="Times New Roman"/>
          <w:color w:val="auto"/>
          <w:sz w:val="22"/>
          <w:szCs w:val="22"/>
        </w:rPr>
        <w:t>Accordingly, we will no</w:t>
      </w:r>
      <w:r w:rsidR="007771A6" w:rsidRPr="00A91462">
        <w:rPr>
          <w:rFonts w:ascii="Times New Roman" w:hAnsi="Times New Roman" w:cs="Times New Roman"/>
          <w:color w:val="auto"/>
          <w:sz w:val="22"/>
          <w:szCs w:val="22"/>
        </w:rPr>
        <w:t>t automatically impose service fees</w:t>
      </w:r>
      <w:r w:rsidR="008768C9" w:rsidRPr="00A91462">
        <w:rPr>
          <w:rFonts w:ascii="Times New Roman" w:hAnsi="Times New Roman" w:cs="Times New Roman"/>
          <w:color w:val="auto"/>
          <w:sz w:val="22"/>
          <w:szCs w:val="22"/>
        </w:rPr>
        <w:t xml:space="preserve"> on late submissions. However, a</w:t>
      </w:r>
      <w:r w:rsidR="007F6BA9" w:rsidRPr="00A91462">
        <w:rPr>
          <w:rFonts w:ascii="Times New Roman" w:hAnsi="Times New Roman" w:cs="Times New Roman"/>
          <w:color w:val="auto"/>
          <w:sz w:val="22"/>
          <w:szCs w:val="22"/>
        </w:rPr>
        <w:t xml:space="preserve">s we have done since the beginning of this calendar year, a monthly list of late </w:t>
      </w:r>
      <w:r w:rsidR="007F6BA9" w:rsidRPr="00A91462">
        <w:rPr>
          <w:rFonts w:ascii="Times New Roman" w:hAnsi="Times New Roman" w:cs="Times New Roman"/>
          <w:color w:val="auto"/>
          <w:sz w:val="22"/>
          <w:szCs w:val="22"/>
        </w:rPr>
        <w:lastRenderedPageBreak/>
        <w:t>subm</w:t>
      </w:r>
      <w:r w:rsidR="008768C9" w:rsidRPr="00A91462">
        <w:rPr>
          <w:rFonts w:ascii="Times New Roman" w:hAnsi="Times New Roman" w:cs="Times New Roman"/>
          <w:color w:val="auto"/>
          <w:sz w:val="22"/>
          <w:szCs w:val="22"/>
        </w:rPr>
        <w:t>issions will be provided to</w:t>
      </w:r>
      <w:r w:rsidR="007F6BA9" w:rsidRPr="00A91462">
        <w:rPr>
          <w:rFonts w:ascii="Times New Roman" w:hAnsi="Times New Roman" w:cs="Times New Roman"/>
          <w:color w:val="auto"/>
          <w:sz w:val="22"/>
          <w:szCs w:val="22"/>
        </w:rPr>
        <w:t xml:space="preserve"> Dean</w:t>
      </w:r>
      <w:r w:rsidR="008768C9" w:rsidRPr="00A91462">
        <w:rPr>
          <w:rFonts w:ascii="Times New Roman" w:hAnsi="Times New Roman" w:cs="Times New Roman"/>
          <w:color w:val="auto"/>
          <w:sz w:val="22"/>
          <w:szCs w:val="22"/>
        </w:rPr>
        <w:t>s</w:t>
      </w:r>
      <w:r w:rsidR="007F6BA9" w:rsidRPr="00A91462">
        <w:rPr>
          <w:rFonts w:ascii="Times New Roman" w:hAnsi="Times New Roman" w:cs="Times New Roman"/>
          <w:color w:val="auto"/>
          <w:sz w:val="22"/>
          <w:szCs w:val="22"/>
        </w:rPr>
        <w:t>, Chai</w:t>
      </w:r>
      <w:r w:rsidR="008768C9" w:rsidRPr="00A91462">
        <w:rPr>
          <w:rFonts w:ascii="Times New Roman" w:hAnsi="Times New Roman" w:cs="Times New Roman"/>
          <w:color w:val="auto"/>
          <w:sz w:val="22"/>
          <w:szCs w:val="22"/>
        </w:rPr>
        <w:t xml:space="preserve">rs and Center Directors, and if problems </w:t>
      </w:r>
      <w:r w:rsidR="007771A6" w:rsidRPr="00A91462">
        <w:rPr>
          <w:rFonts w:ascii="Times New Roman" w:hAnsi="Times New Roman" w:cs="Times New Roman"/>
          <w:color w:val="auto"/>
          <w:sz w:val="22"/>
          <w:szCs w:val="22"/>
        </w:rPr>
        <w:t>with late submissions persist</w:t>
      </w:r>
      <w:r w:rsidR="006B0673" w:rsidRPr="00A91462">
        <w:rPr>
          <w:rFonts w:ascii="Times New Roman" w:hAnsi="Times New Roman" w:cs="Times New Roman"/>
          <w:color w:val="auto"/>
          <w:sz w:val="22"/>
          <w:szCs w:val="22"/>
        </w:rPr>
        <w:t>,</w:t>
      </w:r>
      <w:r w:rsidR="007771A6" w:rsidRPr="00A91462">
        <w:rPr>
          <w:rFonts w:ascii="Times New Roman" w:hAnsi="Times New Roman" w:cs="Times New Roman"/>
          <w:color w:val="auto"/>
          <w:sz w:val="22"/>
          <w:szCs w:val="22"/>
        </w:rPr>
        <w:t xml:space="preserve"> we will revisit the idea of imposing a service fee. </w:t>
      </w:r>
    </w:p>
    <w:p w14:paraId="2E959F9F" w14:textId="77777777" w:rsidR="00BB0FCD" w:rsidRPr="007A5200" w:rsidRDefault="00BB0FCD" w:rsidP="00BB0FCD">
      <w:pPr>
        <w:pStyle w:val="BodyA"/>
        <w:ind w:firstLine="720"/>
        <w:rPr>
          <w:rFonts w:ascii="Times New Roman" w:hAnsi="Times New Roman" w:cs="Times New Roman"/>
          <w:sz w:val="22"/>
          <w:szCs w:val="22"/>
        </w:rPr>
      </w:pPr>
    </w:p>
    <w:p w14:paraId="770F594E" w14:textId="3FF69DF7" w:rsidR="00532F3C" w:rsidRPr="007A5200" w:rsidRDefault="00532F3C" w:rsidP="007F6BA9">
      <w:pPr>
        <w:pStyle w:val="BodyA"/>
        <w:rPr>
          <w:rFonts w:ascii="Times New Roman" w:eastAsia="Helvetica" w:hAnsi="Times New Roman" w:cs="Times New Roman"/>
          <w:i/>
          <w:sz w:val="22"/>
          <w:szCs w:val="22"/>
        </w:rPr>
      </w:pPr>
      <w:r w:rsidRPr="007A5200">
        <w:rPr>
          <w:rFonts w:ascii="Times New Roman" w:hAnsi="Times New Roman" w:cs="Times New Roman"/>
          <w:i/>
          <w:sz w:val="22"/>
          <w:szCs w:val="22"/>
        </w:rPr>
        <w:t>Faculty Support</w:t>
      </w:r>
      <w:r w:rsidR="00D75E97">
        <w:rPr>
          <w:rFonts w:ascii="Times New Roman" w:hAnsi="Times New Roman" w:cs="Times New Roman"/>
          <w:i/>
          <w:sz w:val="22"/>
          <w:szCs w:val="22"/>
        </w:rPr>
        <w:t xml:space="preserve"> </w:t>
      </w:r>
    </w:p>
    <w:p w14:paraId="716889C2" w14:textId="77777777" w:rsidR="007F6BA9" w:rsidRPr="007A5200" w:rsidRDefault="007F6BA9" w:rsidP="007F6BA9">
      <w:pPr>
        <w:pStyle w:val="BodyA"/>
        <w:ind w:firstLine="360"/>
        <w:rPr>
          <w:rFonts w:ascii="Times New Roman" w:eastAsia="Helvetica" w:hAnsi="Times New Roman" w:cs="Times New Roman"/>
          <w:sz w:val="22"/>
          <w:szCs w:val="22"/>
        </w:rPr>
      </w:pPr>
    </w:p>
    <w:p w14:paraId="5279C6D2" w14:textId="61E99A04" w:rsidR="007F6BA9" w:rsidRPr="007A5200" w:rsidRDefault="007F6BA9" w:rsidP="00BE5E08">
      <w:pPr>
        <w:pStyle w:val="BodyA"/>
        <w:rPr>
          <w:rFonts w:ascii="Times New Roman" w:eastAsia="Helvetica" w:hAnsi="Times New Roman" w:cs="Times New Roman"/>
          <w:sz w:val="22"/>
          <w:szCs w:val="22"/>
        </w:rPr>
      </w:pPr>
      <w:r w:rsidRPr="007A5200">
        <w:rPr>
          <w:rFonts w:ascii="Times New Roman" w:hAnsi="Times New Roman" w:cs="Times New Roman"/>
          <w:sz w:val="22"/>
          <w:szCs w:val="22"/>
        </w:rPr>
        <w:t>Many of the comments we received in response to the ea</w:t>
      </w:r>
      <w:r w:rsidR="001E69DA">
        <w:rPr>
          <w:rFonts w:ascii="Times New Roman" w:hAnsi="Times New Roman" w:cs="Times New Roman"/>
          <w:sz w:val="22"/>
          <w:szCs w:val="22"/>
        </w:rPr>
        <w:t xml:space="preserve">rlier draft </w:t>
      </w:r>
      <w:r w:rsidRPr="007A5200">
        <w:rPr>
          <w:rFonts w:ascii="Times New Roman" w:hAnsi="Times New Roman" w:cs="Times New Roman"/>
          <w:sz w:val="22"/>
          <w:szCs w:val="22"/>
        </w:rPr>
        <w:t>mentioned the lack of administrative support available to PIs for proposal preparation</w:t>
      </w:r>
      <w:r w:rsidR="00BE5E08" w:rsidRPr="007A5200">
        <w:rPr>
          <w:rFonts w:ascii="Times New Roman" w:hAnsi="Times New Roman" w:cs="Times New Roman"/>
          <w:sz w:val="22"/>
          <w:szCs w:val="22"/>
        </w:rPr>
        <w:t>,</w:t>
      </w:r>
      <w:r w:rsidR="00BB0FCD" w:rsidRPr="007A5200">
        <w:rPr>
          <w:rFonts w:ascii="Times New Roman" w:hAnsi="Times New Roman" w:cs="Times New Roman"/>
          <w:sz w:val="22"/>
          <w:szCs w:val="22"/>
        </w:rPr>
        <w:t xml:space="preserve"> and </w:t>
      </w:r>
      <w:r w:rsidR="00BE5E08" w:rsidRPr="007A5200">
        <w:rPr>
          <w:rFonts w:ascii="Times New Roman" w:hAnsi="Times New Roman" w:cs="Times New Roman"/>
          <w:sz w:val="22"/>
          <w:szCs w:val="22"/>
        </w:rPr>
        <w:t>others asked</w:t>
      </w:r>
      <w:r w:rsidR="00BB0FCD" w:rsidRPr="007A5200">
        <w:rPr>
          <w:rFonts w:ascii="Times New Roman" w:hAnsi="Times New Roman" w:cs="Times New Roman"/>
          <w:sz w:val="22"/>
          <w:szCs w:val="22"/>
        </w:rPr>
        <w:t xml:space="preserve"> about the accountability of </w:t>
      </w:r>
      <w:r w:rsidR="00BE5E08" w:rsidRPr="007A5200">
        <w:rPr>
          <w:rFonts w:ascii="Times New Roman" w:hAnsi="Times New Roman" w:cs="Times New Roman"/>
          <w:sz w:val="22"/>
          <w:szCs w:val="22"/>
        </w:rPr>
        <w:t xml:space="preserve">the </w:t>
      </w:r>
      <w:r w:rsidR="00BB0FCD" w:rsidRPr="007A5200">
        <w:rPr>
          <w:rFonts w:ascii="Times New Roman" w:hAnsi="Times New Roman" w:cs="Times New Roman"/>
          <w:sz w:val="22"/>
          <w:szCs w:val="22"/>
        </w:rPr>
        <w:t>OSP</w:t>
      </w:r>
      <w:r w:rsidRPr="007A5200">
        <w:rPr>
          <w:rFonts w:ascii="Times New Roman" w:hAnsi="Times New Roman" w:cs="Times New Roman"/>
          <w:sz w:val="22"/>
          <w:szCs w:val="22"/>
        </w:rPr>
        <w:t>. T</w:t>
      </w:r>
      <w:r w:rsidR="008A4C84" w:rsidRPr="007A5200">
        <w:rPr>
          <w:rFonts w:ascii="Times New Roman" w:hAnsi="Times New Roman" w:cs="Times New Roman"/>
          <w:sz w:val="22"/>
          <w:szCs w:val="22"/>
        </w:rPr>
        <w:t>hese are</w:t>
      </w:r>
      <w:r w:rsidR="00BE5E08" w:rsidRPr="007A5200">
        <w:rPr>
          <w:rFonts w:ascii="Times New Roman" w:hAnsi="Times New Roman" w:cs="Times New Roman"/>
          <w:sz w:val="22"/>
          <w:szCs w:val="22"/>
        </w:rPr>
        <w:t xml:space="preserve"> real and serious issue</w:t>
      </w:r>
      <w:r w:rsidR="008A4C84" w:rsidRPr="007A5200">
        <w:rPr>
          <w:rFonts w:ascii="Times New Roman" w:hAnsi="Times New Roman" w:cs="Times New Roman"/>
          <w:sz w:val="22"/>
          <w:szCs w:val="22"/>
        </w:rPr>
        <w:t>s</w:t>
      </w:r>
      <w:r w:rsidR="00BE5E08" w:rsidRPr="007A5200">
        <w:rPr>
          <w:rFonts w:ascii="Times New Roman" w:hAnsi="Times New Roman" w:cs="Times New Roman"/>
          <w:sz w:val="22"/>
          <w:szCs w:val="22"/>
        </w:rPr>
        <w:t xml:space="preserve"> and</w:t>
      </w:r>
      <w:r w:rsidR="001E69DA">
        <w:rPr>
          <w:rFonts w:ascii="Times New Roman" w:hAnsi="Times New Roman" w:cs="Times New Roman"/>
          <w:sz w:val="22"/>
          <w:szCs w:val="22"/>
        </w:rPr>
        <w:t xml:space="preserve"> over the past two years </w:t>
      </w:r>
      <w:r w:rsidRPr="007A5200">
        <w:rPr>
          <w:rFonts w:ascii="Times New Roman" w:hAnsi="Times New Roman" w:cs="Times New Roman"/>
          <w:sz w:val="22"/>
          <w:szCs w:val="22"/>
        </w:rPr>
        <w:t xml:space="preserve">we have </w:t>
      </w:r>
      <w:r w:rsidR="00BE5E08" w:rsidRPr="007A5200">
        <w:rPr>
          <w:rFonts w:ascii="Times New Roman" w:hAnsi="Times New Roman" w:cs="Times New Roman"/>
          <w:sz w:val="22"/>
          <w:szCs w:val="22"/>
        </w:rPr>
        <w:t>tried to increase</w:t>
      </w:r>
      <w:r w:rsidR="00D75E97">
        <w:rPr>
          <w:rFonts w:ascii="Times New Roman" w:hAnsi="Times New Roman" w:cs="Times New Roman"/>
          <w:sz w:val="22"/>
          <w:szCs w:val="22"/>
        </w:rPr>
        <w:t xml:space="preserve"> OSP accountability and PI support</w:t>
      </w:r>
      <w:r w:rsidR="008A4C84" w:rsidRPr="007A5200">
        <w:rPr>
          <w:rFonts w:ascii="Times New Roman" w:hAnsi="Times New Roman" w:cs="Times New Roman"/>
          <w:sz w:val="22"/>
          <w:szCs w:val="22"/>
        </w:rPr>
        <w:t xml:space="preserve"> </w:t>
      </w:r>
      <w:r w:rsidRPr="007A5200">
        <w:rPr>
          <w:rFonts w:ascii="Times New Roman" w:hAnsi="Times New Roman" w:cs="Times New Roman"/>
          <w:sz w:val="22"/>
          <w:szCs w:val="22"/>
        </w:rPr>
        <w:t>at all administrative levels. We believe that PI suppor</w:t>
      </w:r>
      <w:r w:rsidR="00BE5E08" w:rsidRPr="007A5200">
        <w:rPr>
          <w:rFonts w:ascii="Times New Roman" w:hAnsi="Times New Roman" w:cs="Times New Roman"/>
          <w:sz w:val="22"/>
          <w:szCs w:val="22"/>
        </w:rPr>
        <w:t>t should start at the department</w:t>
      </w:r>
      <w:r w:rsidRPr="007A5200">
        <w:rPr>
          <w:rFonts w:ascii="Times New Roman" w:hAnsi="Times New Roman" w:cs="Times New Roman"/>
          <w:sz w:val="22"/>
          <w:szCs w:val="22"/>
        </w:rPr>
        <w:t xml:space="preserve">, but it’s clear that while some departments employ staff specifically to help with proposal preparation and project management, many others do not. Our efforts to increase PI support at the department level include the hiring of a training specialist, Vanessa Tan, to curate and coordinate all of the training materials associated with research. New department staff or staff wishing to learn more about preparation or management now have a single point of contact for training. Vanessa has already placed many training materials on-line or in Learning Central. Vanessa can be reached at </w:t>
      </w:r>
      <w:hyperlink r:id="rId9" w:history="1">
        <w:r w:rsidRPr="007A5200">
          <w:rPr>
            <w:rStyle w:val="Hyperlink"/>
            <w:rFonts w:ascii="Times New Roman" w:hAnsi="Times New Roman" w:cs="Times New Roman"/>
            <w:sz w:val="22"/>
            <w:szCs w:val="22"/>
          </w:rPr>
          <w:t>vtan@unm.edu</w:t>
        </w:r>
      </w:hyperlink>
      <w:r w:rsidRPr="007A5200">
        <w:rPr>
          <w:rFonts w:ascii="Times New Roman" w:hAnsi="Times New Roman" w:cs="Times New Roman"/>
          <w:sz w:val="22"/>
          <w:szCs w:val="22"/>
        </w:rPr>
        <w:t xml:space="preserve"> or 277 2500.</w:t>
      </w:r>
    </w:p>
    <w:p w14:paraId="24CD4AC5" w14:textId="77777777" w:rsidR="007F6BA9" w:rsidRPr="007A5200" w:rsidRDefault="007F6BA9" w:rsidP="007F6BA9">
      <w:pPr>
        <w:pStyle w:val="BodyA"/>
        <w:rPr>
          <w:rFonts w:ascii="Times New Roman" w:hAnsi="Times New Roman" w:cs="Times New Roman"/>
          <w:sz w:val="22"/>
          <w:szCs w:val="22"/>
        </w:rPr>
      </w:pPr>
    </w:p>
    <w:p w14:paraId="72BA314B" w14:textId="201A4E1B" w:rsidR="007F6BA9" w:rsidRPr="007A5200" w:rsidRDefault="007F6BA9" w:rsidP="008A4C84">
      <w:pPr>
        <w:pStyle w:val="BodyA"/>
        <w:rPr>
          <w:rFonts w:ascii="Times New Roman" w:hAnsi="Times New Roman" w:cs="Times New Roman"/>
          <w:sz w:val="22"/>
          <w:szCs w:val="22"/>
        </w:rPr>
      </w:pPr>
      <w:r w:rsidRPr="007A5200">
        <w:rPr>
          <w:rFonts w:ascii="Times New Roman" w:hAnsi="Times New Roman" w:cs="Times New Roman"/>
          <w:sz w:val="22"/>
          <w:szCs w:val="22"/>
        </w:rPr>
        <w:t>At the College level, the popular Faculty Research Support Officer (FRSO) program h</w:t>
      </w:r>
      <w:r w:rsidR="00C52CEE">
        <w:rPr>
          <w:rFonts w:ascii="Times New Roman" w:hAnsi="Times New Roman" w:cs="Times New Roman"/>
          <w:sz w:val="22"/>
          <w:szCs w:val="22"/>
        </w:rPr>
        <w:t>as been restructured</w:t>
      </w:r>
      <w:r w:rsidRPr="007A5200">
        <w:rPr>
          <w:rFonts w:ascii="Times New Roman" w:hAnsi="Times New Roman" w:cs="Times New Roman"/>
          <w:sz w:val="22"/>
          <w:szCs w:val="22"/>
        </w:rPr>
        <w:t xml:space="preserve"> and expanded. Given the wide differences in types of research and sponsored projects across campus, we have provided funding to the most research active schools and colleges to directly hire their own FRSOs (or equivalent). Thus, dean’s offices can assign proposal support staff within a college as needed. Currently, the College of Arts and Sciences, School of Engineering, College of Fine Arts, and College of Education are either interviewing candidates or in the process of posting the positions.</w:t>
      </w:r>
    </w:p>
    <w:p w14:paraId="64E37406" w14:textId="77777777" w:rsidR="00592AA9" w:rsidRPr="007A5200" w:rsidRDefault="00592AA9" w:rsidP="007F6BA9">
      <w:pPr>
        <w:pStyle w:val="BodyA"/>
        <w:rPr>
          <w:rFonts w:ascii="Times New Roman" w:eastAsia="Helvetica" w:hAnsi="Times New Roman" w:cs="Times New Roman"/>
          <w:sz w:val="22"/>
          <w:szCs w:val="22"/>
        </w:rPr>
      </w:pPr>
    </w:p>
    <w:p w14:paraId="6C020041" w14:textId="2D31A88F" w:rsidR="007F6BA9" w:rsidRPr="007A5200" w:rsidRDefault="007F6BA9" w:rsidP="008A4C84">
      <w:pPr>
        <w:pStyle w:val="BodyA"/>
        <w:rPr>
          <w:rFonts w:ascii="Times New Roman" w:eastAsia="Helvetica" w:hAnsi="Times New Roman" w:cs="Times New Roman"/>
          <w:sz w:val="22"/>
          <w:szCs w:val="22"/>
        </w:rPr>
      </w:pPr>
      <w:r w:rsidRPr="007A5200">
        <w:rPr>
          <w:rFonts w:ascii="Times New Roman" w:hAnsi="Times New Roman" w:cs="Times New Roman"/>
          <w:sz w:val="22"/>
          <w:szCs w:val="22"/>
        </w:rPr>
        <w:t>At the OVPR level, Dr. Mary Jo Daniel has been hired as Director of Faculty Research Dev</w:t>
      </w:r>
      <w:r w:rsidR="00A77388" w:rsidRPr="007A5200">
        <w:rPr>
          <w:rFonts w:ascii="Times New Roman" w:hAnsi="Times New Roman" w:cs="Times New Roman"/>
          <w:sz w:val="22"/>
          <w:szCs w:val="22"/>
        </w:rPr>
        <w:t>elopment. Along with Monica Fis</w:t>
      </w:r>
      <w:r w:rsidRPr="007A5200">
        <w:rPr>
          <w:rFonts w:ascii="Times New Roman" w:hAnsi="Times New Roman" w:cs="Times New Roman"/>
          <w:sz w:val="22"/>
          <w:szCs w:val="22"/>
        </w:rPr>
        <w:t xml:space="preserve">hel and recently hired FRSO, Kathleen Gygi, the Faculty Research Development team will coordinate faculty research support across campus and work to develop long-term faculty research areas with the goal of positioning UNM to compete for larger center, interdisciplinary, and collaborative proposals. Dr. Daniel and her team can be reached at </w:t>
      </w:r>
      <w:hyperlink r:id="rId10" w:history="1">
        <w:r w:rsidRPr="007A5200">
          <w:rPr>
            <w:rStyle w:val="Hyperlink"/>
            <w:rFonts w:ascii="Times New Roman" w:hAnsi="Times New Roman" w:cs="Times New Roman"/>
            <w:sz w:val="22"/>
            <w:szCs w:val="22"/>
          </w:rPr>
          <w:t>mjdaniel@unm.edu</w:t>
        </w:r>
      </w:hyperlink>
      <w:r w:rsidR="00A77388" w:rsidRPr="007A5200">
        <w:rPr>
          <w:rFonts w:ascii="Times New Roman" w:hAnsi="Times New Roman" w:cs="Times New Roman"/>
          <w:sz w:val="22"/>
          <w:szCs w:val="22"/>
        </w:rPr>
        <w:t xml:space="preserve"> or 277-0168</w:t>
      </w:r>
      <w:r w:rsidRPr="007A5200">
        <w:rPr>
          <w:rFonts w:ascii="Times New Roman" w:hAnsi="Times New Roman" w:cs="Times New Roman"/>
          <w:sz w:val="22"/>
          <w:szCs w:val="22"/>
        </w:rPr>
        <w:t xml:space="preserve">. </w:t>
      </w:r>
    </w:p>
    <w:p w14:paraId="23D0C11D" w14:textId="77777777" w:rsidR="007F6BA9" w:rsidRPr="007A5200" w:rsidRDefault="007F6BA9" w:rsidP="007F6BA9">
      <w:pPr>
        <w:pStyle w:val="BodyA"/>
        <w:ind w:firstLine="360"/>
        <w:rPr>
          <w:rFonts w:ascii="Times New Roman" w:eastAsia="Helvetica" w:hAnsi="Times New Roman" w:cs="Times New Roman"/>
          <w:sz w:val="22"/>
          <w:szCs w:val="22"/>
        </w:rPr>
      </w:pPr>
    </w:p>
    <w:p w14:paraId="35C44567" w14:textId="606DADE2" w:rsidR="00C60B40" w:rsidRPr="006B7A9B" w:rsidRDefault="007F6BA9" w:rsidP="006B7A9B">
      <w:pPr>
        <w:pStyle w:val="BodyA"/>
        <w:rPr>
          <w:rFonts w:ascii="Times New Roman" w:hAnsi="Times New Roman" w:cs="Times New Roman"/>
          <w:sz w:val="22"/>
          <w:szCs w:val="22"/>
        </w:rPr>
      </w:pPr>
      <w:r w:rsidRPr="007A5200">
        <w:rPr>
          <w:rFonts w:ascii="Times New Roman" w:hAnsi="Times New Roman" w:cs="Times New Roman"/>
          <w:sz w:val="22"/>
          <w:szCs w:val="22"/>
        </w:rPr>
        <w:t xml:space="preserve">Finally, both </w:t>
      </w:r>
      <w:r w:rsidR="008A4C84" w:rsidRPr="007A5200">
        <w:rPr>
          <w:rFonts w:ascii="Times New Roman" w:hAnsi="Times New Roman" w:cs="Times New Roman"/>
          <w:sz w:val="22"/>
          <w:szCs w:val="22"/>
        </w:rPr>
        <w:t xml:space="preserve">the </w:t>
      </w:r>
      <w:r w:rsidRPr="007A5200">
        <w:rPr>
          <w:rFonts w:ascii="Times New Roman" w:hAnsi="Times New Roman" w:cs="Times New Roman"/>
          <w:sz w:val="22"/>
          <w:szCs w:val="22"/>
        </w:rPr>
        <w:t xml:space="preserve">OSP and Contract and Grant Accounting (CGA or “post-award”) have been reorganized under new leadership (Isela Roeder and Debora Selke, respectively) to provide more efficient and integrated proposal and grant support to faculty. </w:t>
      </w:r>
      <w:r w:rsidR="001F0F67" w:rsidRPr="007A5200">
        <w:rPr>
          <w:rFonts w:ascii="Times New Roman" w:hAnsi="Times New Roman" w:cs="Times New Roman"/>
          <w:sz w:val="22"/>
          <w:szCs w:val="22"/>
        </w:rPr>
        <w:t xml:space="preserve">In addition, we are </w:t>
      </w:r>
      <w:r w:rsidR="00C52CEE">
        <w:rPr>
          <w:rFonts w:ascii="Times New Roman" w:hAnsi="Times New Roman" w:cs="Times New Roman"/>
          <w:sz w:val="22"/>
          <w:szCs w:val="22"/>
        </w:rPr>
        <w:t>currently seeking</w:t>
      </w:r>
      <w:r w:rsidR="001F0F67" w:rsidRPr="007A5200">
        <w:rPr>
          <w:rFonts w:ascii="Times New Roman" w:hAnsi="Times New Roman" w:cs="Times New Roman"/>
          <w:sz w:val="22"/>
          <w:szCs w:val="22"/>
        </w:rPr>
        <w:t xml:space="preserve"> to hire a full-time contract negotiator in </w:t>
      </w:r>
      <w:r w:rsidR="00C52CEE">
        <w:rPr>
          <w:rFonts w:ascii="Times New Roman" w:hAnsi="Times New Roman" w:cs="Times New Roman"/>
          <w:sz w:val="22"/>
          <w:szCs w:val="22"/>
        </w:rPr>
        <w:t xml:space="preserve">the </w:t>
      </w:r>
      <w:r w:rsidR="001F0F67" w:rsidRPr="007A5200">
        <w:rPr>
          <w:rFonts w:ascii="Times New Roman" w:hAnsi="Times New Roman" w:cs="Times New Roman"/>
          <w:sz w:val="22"/>
          <w:szCs w:val="22"/>
        </w:rPr>
        <w:t xml:space="preserve">OSP to address the </w:t>
      </w:r>
      <w:r w:rsidR="00C52CEE">
        <w:rPr>
          <w:rFonts w:ascii="Times New Roman" w:hAnsi="Times New Roman" w:cs="Times New Roman"/>
          <w:sz w:val="22"/>
          <w:szCs w:val="22"/>
        </w:rPr>
        <w:t xml:space="preserve">long-standing and </w:t>
      </w:r>
      <w:r w:rsidR="001F0F67" w:rsidRPr="007A5200">
        <w:rPr>
          <w:rFonts w:ascii="Times New Roman" w:hAnsi="Times New Roman" w:cs="Times New Roman"/>
          <w:sz w:val="22"/>
          <w:szCs w:val="22"/>
        </w:rPr>
        <w:t xml:space="preserve">time-consuming bottlenecks in </w:t>
      </w:r>
      <w:r w:rsidR="00C52CEE">
        <w:rPr>
          <w:rFonts w:ascii="Times New Roman" w:hAnsi="Times New Roman" w:cs="Times New Roman"/>
          <w:sz w:val="22"/>
          <w:szCs w:val="22"/>
        </w:rPr>
        <w:t xml:space="preserve">our </w:t>
      </w:r>
      <w:r w:rsidR="001F0F67" w:rsidRPr="007A5200">
        <w:rPr>
          <w:rFonts w:ascii="Times New Roman" w:hAnsi="Times New Roman" w:cs="Times New Roman"/>
          <w:sz w:val="22"/>
          <w:szCs w:val="22"/>
        </w:rPr>
        <w:t>contract negoti</w:t>
      </w:r>
      <w:r w:rsidR="00C52CEE">
        <w:rPr>
          <w:rFonts w:ascii="Times New Roman" w:hAnsi="Times New Roman" w:cs="Times New Roman"/>
          <w:sz w:val="22"/>
          <w:szCs w:val="22"/>
        </w:rPr>
        <w:t xml:space="preserve">ation process and </w:t>
      </w:r>
      <w:r w:rsidR="00BB0FCD" w:rsidRPr="007A5200">
        <w:rPr>
          <w:rFonts w:ascii="Times New Roman" w:hAnsi="Times New Roman" w:cs="Times New Roman"/>
          <w:sz w:val="22"/>
          <w:szCs w:val="22"/>
        </w:rPr>
        <w:t xml:space="preserve">award index setup. </w:t>
      </w:r>
      <w:r w:rsidR="00F86D7F">
        <w:rPr>
          <w:rFonts w:ascii="Times New Roman" w:hAnsi="Times New Roman" w:cs="Times New Roman"/>
          <w:sz w:val="22"/>
          <w:szCs w:val="22"/>
        </w:rPr>
        <w:t xml:space="preserve">With regards to </w:t>
      </w:r>
      <w:r w:rsidR="00873C4A">
        <w:rPr>
          <w:rFonts w:ascii="Times New Roman" w:hAnsi="Times New Roman" w:cs="Times New Roman"/>
          <w:sz w:val="22"/>
          <w:szCs w:val="22"/>
        </w:rPr>
        <w:t>OSP</w:t>
      </w:r>
      <w:bookmarkStart w:id="0" w:name="_GoBack"/>
      <w:bookmarkEnd w:id="0"/>
      <w:r w:rsidR="00F86D7F">
        <w:rPr>
          <w:rFonts w:ascii="Times New Roman" w:hAnsi="Times New Roman" w:cs="Times New Roman"/>
          <w:sz w:val="22"/>
          <w:szCs w:val="22"/>
        </w:rPr>
        <w:t xml:space="preserve"> accountability, t</w:t>
      </w:r>
      <w:r w:rsidRPr="007A5200">
        <w:rPr>
          <w:rFonts w:ascii="Times New Roman" w:hAnsi="Times New Roman" w:cs="Times New Roman"/>
          <w:sz w:val="22"/>
          <w:szCs w:val="22"/>
        </w:rPr>
        <w:t>he</w:t>
      </w:r>
      <w:r w:rsidR="00C52CEE">
        <w:rPr>
          <w:rFonts w:ascii="Times New Roman" w:hAnsi="Times New Roman" w:cs="Times New Roman"/>
          <w:sz w:val="22"/>
          <w:szCs w:val="22"/>
        </w:rPr>
        <w:t>se</w:t>
      </w:r>
      <w:r w:rsidRPr="007A5200">
        <w:rPr>
          <w:rFonts w:ascii="Times New Roman" w:hAnsi="Times New Roman" w:cs="Times New Roman"/>
          <w:sz w:val="22"/>
          <w:szCs w:val="22"/>
        </w:rPr>
        <w:t xml:space="preserve"> changes are largely in response to results of the faculty and</w:t>
      </w:r>
      <w:r w:rsidR="00A77388" w:rsidRPr="007A5200">
        <w:rPr>
          <w:rFonts w:ascii="Times New Roman" w:hAnsi="Times New Roman" w:cs="Times New Roman"/>
          <w:sz w:val="22"/>
          <w:szCs w:val="22"/>
        </w:rPr>
        <w:t xml:space="preserve"> staff satisfaction survey </w:t>
      </w:r>
      <w:r w:rsidRPr="007A5200">
        <w:rPr>
          <w:rFonts w:ascii="Times New Roman" w:hAnsi="Times New Roman" w:cs="Times New Roman"/>
          <w:sz w:val="22"/>
          <w:szCs w:val="22"/>
        </w:rPr>
        <w:t>conducted last year and all are intended to provide increased PI support and quality service.</w:t>
      </w:r>
      <w:r w:rsidR="00F86D7F">
        <w:rPr>
          <w:rFonts w:ascii="Times New Roman" w:hAnsi="Times New Roman" w:cs="Times New Roman"/>
          <w:sz w:val="22"/>
          <w:szCs w:val="22"/>
        </w:rPr>
        <w:t xml:space="preserve"> </w:t>
      </w:r>
      <w:r w:rsidR="001F0F67" w:rsidRPr="007A5200">
        <w:rPr>
          <w:rFonts w:ascii="Times New Roman" w:hAnsi="Times New Roman" w:cs="Times New Roman"/>
          <w:sz w:val="22"/>
          <w:szCs w:val="22"/>
        </w:rPr>
        <w:t xml:space="preserve">In addition, </w:t>
      </w:r>
      <w:r w:rsidR="00BB0FCD" w:rsidRPr="007A5200">
        <w:rPr>
          <w:rFonts w:ascii="Times New Roman" w:hAnsi="Times New Roman" w:cs="Times New Roman"/>
          <w:sz w:val="22"/>
          <w:szCs w:val="22"/>
        </w:rPr>
        <w:t>to</w:t>
      </w:r>
      <w:r w:rsidRPr="007A5200">
        <w:rPr>
          <w:rFonts w:ascii="Times New Roman" w:hAnsi="Times New Roman" w:cs="Times New Roman"/>
          <w:sz w:val="22"/>
          <w:szCs w:val="22"/>
        </w:rPr>
        <w:t xml:space="preserve"> continuously assess the quality of OSP and CGA services, all PIs will be offered an opportunity to complete a “customer satisfaction” survey at the end of each submission process. </w:t>
      </w:r>
      <w:r w:rsidR="00F86D7F">
        <w:rPr>
          <w:rFonts w:ascii="Times New Roman" w:hAnsi="Times New Roman" w:cs="Times New Roman"/>
          <w:sz w:val="22"/>
          <w:szCs w:val="22"/>
        </w:rPr>
        <w:t>This information will be used to further refine and imp</w:t>
      </w:r>
      <w:r w:rsidR="00B7722D">
        <w:rPr>
          <w:rFonts w:ascii="Times New Roman" w:hAnsi="Times New Roman" w:cs="Times New Roman"/>
          <w:sz w:val="22"/>
          <w:szCs w:val="22"/>
        </w:rPr>
        <w:t>r</w:t>
      </w:r>
      <w:r w:rsidR="00F86D7F">
        <w:rPr>
          <w:rFonts w:ascii="Times New Roman" w:hAnsi="Times New Roman" w:cs="Times New Roman"/>
          <w:sz w:val="22"/>
          <w:szCs w:val="22"/>
        </w:rPr>
        <w:t xml:space="preserve">ove our </w:t>
      </w:r>
      <w:r w:rsidR="00B7722D">
        <w:rPr>
          <w:rFonts w:ascii="Times New Roman" w:hAnsi="Times New Roman" w:cs="Times New Roman"/>
          <w:sz w:val="22"/>
          <w:szCs w:val="22"/>
        </w:rPr>
        <w:t>grant and contract processes going forward</w:t>
      </w:r>
      <w:r w:rsidR="00F86D7F">
        <w:rPr>
          <w:rFonts w:ascii="Times New Roman" w:hAnsi="Times New Roman" w:cs="Times New Roman"/>
          <w:sz w:val="22"/>
          <w:szCs w:val="22"/>
        </w:rPr>
        <w:t>.</w:t>
      </w:r>
      <w:r w:rsidR="00B004E6">
        <w:rPr>
          <w:rFonts w:ascii="Times New Roman" w:hAnsi="Times New Roman" w:cs="Times New Roman"/>
          <w:sz w:val="22"/>
          <w:szCs w:val="22"/>
        </w:rPr>
        <w:t xml:space="preserve"> Although the policy changes outlined here are an attempt to address problems with late submissions, the best advice for all PIs</w:t>
      </w:r>
      <w:r w:rsidRPr="007A5200">
        <w:rPr>
          <w:rFonts w:ascii="Times New Roman" w:hAnsi="Times New Roman" w:cs="Times New Roman"/>
          <w:sz w:val="22"/>
          <w:szCs w:val="22"/>
        </w:rPr>
        <w:t xml:space="preserve"> is to make contact with </w:t>
      </w:r>
      <w:r w:rsidR="006B7A9B">
        <w:rPr>
          <w:rFonts w:ascii="Times New Roman" w:hAnsi="Times New Roman" w:cs="Times New Roman"/>
          <w:sz w:val="22"/>
          <w:szCs w:val="22"/>
        </w:rPr>
        <w:t xml:space="preserve">the </w:t>
      </w:r>
      <w:r w:rsidRPr="007A5200">
        <w:rPr>
          <w:rFonts w:ascii="Times New Roman" w:hAnsi="Times New Roman" w:cs="Times New Roman"/>
          <w:sz w:val="22"/>
          <w:szCs w:val="22"/>
        </w:rPr>
        <w:t>OSP well in advance of submission due date</w:t>
      </w:r>
      <w:r w:rsidR="006B7A9B">
        <w:rPr>
          <w:rFonts w:ascii="Times New Roman" w:hAnsi="Times New Roman" w:cs="Times New Roman"/>
          <w:sz w:val="22"/>
          <w:szCs w:val="22"/>
        </w:rPr>
        <w:t>s and to work together with that staff</w:t>
      </w:r>
      <w:r w:rsidRPr="007A5200">
        <w:rPr>
          <w:rFonts w:ascii="Times New Roman" w:hAnsi="Times New Roman" w:cs="Times New Roman"/>
          <w:sz w:val="22"/>
          <w:szCs w:val="22"/>
        </w:rPr>
        <w:t xml:space="preserve"> to prepare </w:t>
      </w:r>
      <w:r w:rsidR="006B7A9B">
        <w:rPr>
          <w:rFonts w:ascii="Times New Roman" w:hAnsi="Times New Roman" w:cs="Times New Roman"/>
          <w:sz w:val="22"/>
          <w:szCs w:val="22"/>
        </w:rPr>
        <w:t xml:space="preserve">and complete </w:t>
      </w:r>
      <w:r w:rsidR="00B004E6">
        <w:rPr>
          <w:rFonts w:ascii="Times New Roman" w:hAnsi="Times New Roman" w:cs="Times New Roman"/>
          <w:sz w:val="22"/>
          <w:szCs w:val="22"/>
        </w:rPr>
        <w:t xml:space="preserve">the </w:t>
      </w:r>
      <w:r w:rsidR="006B7A9B">
        <w:rPr>
          <w:rFonts w:ascii="Times New Roman" w:hAnsi="Times New Roman" w:cs="Times New Roman"/>
          <w:sz w:val="22"/>
          <w:szCs w:val="22"/>
        </w:rPr>
        <w:t>proposal package</w:t>
      </w:r>
      <w:r w:rsidR="00B004E6">
        <w:rPr>
          <w:rFonts w:ascii="Times New Roman" w:hAnsi="Times New Roman" w:cs="Times New Roman"/>
          <w:sz w:val="22"/>
          <w:szCs w:val="22"/>
        </w:rPr>
        <w:t>.</w:t>
      </w:r>
    </w:p>
    <w:p w14:paraId="45A75CF4" w14:textId="77777777" w:rsidR="00C60B40" w:rsidRPr="007A5200" w:rsidRDefault="00C60B40" w:rsidP="00F2724A">
      <w:pPr>
        <w:spacing w:after="0" w:line="240" w:lineRule="auto"/>
        <w:rPr>
          <w:rFonts w:ascii="Times New Roman" w:hAnsi="Times New Roman"/>
          <w:bCs/>
          <w:color w:val="000000"/>
          <w:u w:color="000000"/>
          <w:lang w:val="nl-NL"/>
        </w:rPr>
      </w:pPr>
    </w:p>
    <w:p w14:paraId="4F9DDF21" w14:textId="77777777" w:rsidR="00585E01" w:rsidRPr="007A5200" w:rsidRDefault="00585E01" w:rsidP="00F2724A">
      <w:pPr>
        <w:spacing w:after="0" w:line="240" w:lineRule="auto"/>
        <w:rPr>
          <w:rFonts w:ascii="Times New Roman" w:hAnsi="Times New Roman"/>
          <w:bCs/>
          <w:color w:val="000000"/>
          <w:u w:color="000000"/>
          <w:lang w:val="nl-NL"/>
        </w:rPr>
      </w:pPr>
    </w:p>
    <w:p w14:paraId="0FCF8617" w14:textId="67649274" w:rsidR="00585E01" w:rsidRPr="003D6031" w:rsidRDefault="00C60B40" w:rsidP="00585E01">
      <w:pPr>
        <w:spacing w:after="0" w:line="240" w:lineRule="auto"/>
        <w:rPr>
          <w:rFonts w:ascii="Times New Roman" w:hAnsi="Times New Roman"/>
          <w:bCs/>
          <w:color w:val="000000"/>
          <w:u w:color="000000"/>
        </w:rPr>
      </w:pPr>
      <w:r w:rsidRPr="003D6031">
        <w:rPr>
          <w:rFonts w:ascii="Times New Roman" w:hAnsi="Times New Roman"/>
          <w:bCs/>
          <w:color w:val="000000"/>
          <w:u w:color="000000"/>
        </w:rPr>
        <w:t>Attachment:</w:t>
      </w:r>
      <w:r w:rsidRPr="003D6031">
        <w:rPr>
          <w:rFonts w:ascii="Times New Roman" w:hAnsi="Times New Roman"/>
          <w:bCs/>
          <w:color w:val="000000"/>
          <w:u w:color="000000"/>
        </w:rPr>
        <w:tab/>
        <w:t xml:space="preserve">Proposal Submission Guidelines </w:t>
      </w:r>
      <w:r w:rsidR="00585E01" w:rsidRPr="003D6031">
        <w:rPr>
          <w:rFonts w:ascii="Times New Roman" w:hAnsi="Times New Roman"/>
          <w:bCs/>
          <w:color w:val="000000"/>
          <w:u w:color="000000"/>
        </w:rPr>
        <w:t>&amp; FAQ</w:t>
      </w:r>
      <w:r w:rsidRPr="003D6031">
        <w:rPr>
          <w:rFonts w:ascii="Times New Roman" w:hAnsi="Times New Roman"/>
          <w:bCs/>
          <w:color w:val="000000"/>
          <w:u w:color="000000"/>
        </w:rPr>
        <w:t xml:space="preserve"> (Eff. 09/01/15)</w:t>
      </w:r>
    </w:p>
    <w:sectPr w:rsidR="00585E01" w:rsidRPr="003D6031" w:rsidSect="00532F3C">
      <w:footerReference w:type="even" r:id="rId11"/>
      <w:footerReference w:type="default" r:id="rId12"/>
      <w:headerReference w:type="first" r:id="rId13"/>
      <w:footerReference w:type="first" r:id="rId14"/>
      <w:pgSz w:w="12240" w:h="15820"/>
      <w:pgMar w:top="1440" w:right="1440" w:bottom="1440" w:left="1440" w:header="90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C89DF" w14:textId="77777777" w:rsidR="002D0D6E" w:rsidRDefault="002D0D6E" w:rsidP="002C7DC7">
      <w:pPr>
        <w:spacing w:after="0" w:line="240" w:lineRule="auto"/>
      </w:pPr>
      <w:r>
        <w:separator/>
      </w:r>
    </w:p>
  </w:endnote>
  <w:endnote w:type="continuationSeparator" w:id="0">
    <w:p w14:paraId="66FDE825" w14:textId="77777777" w:rsidR="002D0D6E" w:rsidRDefault="002D0D6E" w:rsidP="002C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Sabon LT Std">
    <w:altName w:val="Constant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C3B3A" w14:textId="77777777" w:rsidR="00EE2F19" w:rsidRDefault="00EE2F19">
    <w:pPr>
      <w:pStyle w:val="Footer"/>
      <w:jc w:val="center"/>
    </w:pPr>
    <w:r>
      <w:fldChar w:fldCharType="begin"/>
    </w:r>
    <w:r>
      <w:instrText xml:space="preserve"> PAGE   \* MERGEFORMAT </w:instrText>
    </w:r>
    <w:r>
      <w:fldChar w:fldCharType="separate"/>
    </w:r>
    <w:r>
      <w:rPr>
        <w:noProof/>
      </w:rPr>
      <w:t>2</w:t>
    </w:r>
    <w:r>
      <w:fldChar w:fldCharType="end"/>
    </w:r>
  </w:p>
  <w:p w14:paraId="21D90873" w14:textId="77777777" w:rsidR="00EE2F19" w:rsidRDefault="00EE2F19" w:rsidP="003A158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5089B" w14:textId="77777777" w:rsidR="00EE2F19" w:rsidRPr="000D3D6C" w:rsidRDefault="00EE2F19">
    <w:pPr>
      <w:pStyle w:val="Footer"/>
      <w:jc w:val="center"/>
      <w:rPr>
        <w:color w:val="808080"/>
        <w:sz w:val="20"/>
        <w:szCs w:val="20"/>
      </w:rPr>
    </w:pPr>
    <w:r w:rsidRPr="000D3D6C">
      <w:rPr>
        <w:rFonts w:ascii="Times New Roman" w:hAnsi="Times New Roman"/>
        <w:color w:val="808080"/>
        <w:sz w:val="20"/>
        <w:szCs w:val="20"/>
      </w:rPr>
      <w:t xml:space="preserve">Page </w:t>
    </w:r>
    <w:r w:rsidRPr="000D3D6C">
      <w:rPr>
        <w:rFonts w:ascii="Times New Roman" w:hAnsi="Times New Roman"/>
        <w:color w:val="808080"/>
        <w:sz w:val="20"/>
        <w:szCs w:val="20"/>
      </w:rPr>
      <w:fldChar w:fldCharType="begin"/>
    </w:r>
    <w:r w:rsidRPr="000D3D6C">
      <w:rPr>
        <w:rFonts w:ascii="Times New Roman" w:hAnsi="Times New Roman"/>
        <w:color w:val="808080"/>
        <w:sz w:val="20"/>
        <w:szCs w:val="20"/>
      </w:rPr>
      <w:instrText xml:space="preserve"> PAGE </w:instrText>
    </w:r>
    <w:r w:rsidRPr="000D3D6C">
      <w:rPr>
        <w:rFonts w:ascii="Times New Roman" w:hAnsi="Times New Roman"/>
        <w:color w:val="808080"/>
        <w:sz w:val="20"/>
        <w:szCs w:val="20"/>
      </w:rPr>
      <w:fldChar w:fldCharType="separate"/>
    </w:r>
    <w:r w:rsidR="007F7D66">
      <w:rPr>
        <w:rFonts w:ascii="Times New Roman" w:hAnsi="Times New Roman"/>
        <w:noProof/>
        <w:color w:val="808080"/>
        <w:sz w:val="20"/>
        <w:szCs w:val="20"/>
      </w:rPr>
      <w:t>3</w:t>
    </w:r>
    <w:r w:rsidRPr="000D3D6C">
      <w:rPr>
        <w:rFonts w:ascii="Times New Roman" w:hAnsi="Times New Roman"/>
        <w:color w:val="808080"/>
        <w:sz w:val="20"/>
        <w:szCs w:val="20"/>
      </w:rPr>
      <w:fldChar w:fldCharType="end"/>
    </w:r>
    <w:r w:rsidRPr="000D3D6C">
      <w:rPr>
        <w:rFonts w:ascii="Times New Roman" w:hAnsi="Times New Roman"/>
        <w:color w:val="808080"/>
        <w:sz w:val="20"/>
        <w:szCs w:val="20"/>
      </w:rPr>
      <w:t xml:space="preserve"> of </w:t>
    </w:r>
    <w:r w:rsidRPr="000D3D6C">
      <w:rPr>
        <w:rFonts w:ascii="Times New Roman" w:hAnsi="Times New Roman"/>
        <w:color w:val="808080"/>
        <w:sz w:val="20"/>
        <w:szCs w:val="20"/>
      </w:rPr>
      <w:fldChar w:fldCharType="begin"/>
    </w:r>
    <w:r w:rsidRPr="000D3D6C">
      <w:rPr>
        <w:rFonts w:ascii="Times New Roman" w:hAnsi="Times New Roman"/>
        <w:color w:val="808080"/>
        <w:sz w:val="20"/>
        <w:szCs w:val="20"/>
      </w:rPr>
      <w:instrText xml:space="preserve"> NUMPAGES  </w:instrText>
    </w:r>
    <w:r w:rsidRPr="000D3D6C">
      <w:rPr>
        <w:rFonts w:ascii="Times New Roman" w:hAnsi="Times New Roman"/>
        <w:color w:val="808080"/>
        <w:sz w:val="20"/>
        <w:szCs w:val="20"/>
      </w:rPr>
      <w:fldChar w:fldCharType="separate"/>
    </w:r>
    <w:r w:rsidR="007F7D66">
      <w:rPr>
        <w:rFonts w:ascii="Times New Roman" w:hAnsi="Times New Roman"/>
        <w:noProof/>
        <w:color w:val="808080"/>
        <w:sz w:val="20"/>
        <w:szCs w:val="20"/>
      </w:rPr>
      <w:t>3</w:t>
    </w:r>
    <w:r w:rsidRPr="000D3D6C">
      <w:rPr>
        <w:rFonts w:ascii="Times New Roman" w:hAnsi="Times New Roman"/>
        <w:color w:val="808080"/>
        <w:sz w:val="20"/>
        <w:szCs w:val="20"/>
      </w:rPr>
      <w:fldChar w:fldCharType="end"/>
    </w:r>
  </w:p>
  <w:p w14:paraId="6987EC7C" w14:textId="77777777" w:rsidR="00EE2F19" w:rsidRDefault="00EE2F19" w:rsidP="003A15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C4939" w14:textId="412E57CD" w:rsidR="00EE2F19" w:rsidRPr="00D678DC" w:rsidRDefault="00EE2F19" w:rsidP="00DC2385">
    <w:pPr>
      <w:pStyle w:val="Footer"/>
      <w:tabs>
        <w:tab w:val="clear" w:pos="9360"/>
      </w:tabs>
      <w:spacing w:after="120"/>
      <w:ind w:left="-1440" w:right="-1422"/>
      <w:jc w:val="center"/>
      <w:rPr>
        <w:rFonts w:ascii="Sabon LT Std" w:hAnsi="Sabon LT Std"/>
        <w:color w:val="666666"/>
        <w:sz w:val="14"/>
        <w:szCs w:val="14"/>
      </w:rPr>
    </w:pPr>
    <w:r w:rsidRPr="00D678DC">
      <w:rPr>
        <w:rFonts w:ascii="Times New Roman" w:hAnsi="Times New Roman"/>
        <w:noProof/>
        <w:color w:val="666666"/>
        <w:sz w:val="24"/>
        <w:szCs w:val="24"/>
      </w:rPr>
      <mc:AlternateContent>
        <mc:Choice Requires="wps">
          <w:drawing>
            <wp:anchor distT="0" distB="0" distL="114300" distR="114300" simplePos="0" relativeHeight="251662336" behindDoc="0" locked="0" layoutInCell="1" allowOverlap="1" wp14:anchorId="6D3234AF" wp14:editId="4CCEA19E">
              <wp:simplePos x="0" y="0"/>
              <wp:positionH relativeFrom="column">
                <wp:posOffset>-488950</wp:posOffset>
              </wp:positionH>
              <wp:positionV relativeFrom="paragraph">
                <wp:posOffset>-143510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9525" cmpd="sng">
                        <a:solidFill>
                          <a:srgbClr val="C5003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7E6C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1.3pt" to="50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" strokecolor="#c50036"/>
          </w:pict>
        </mc:Fallback>
      </mc:AlternateContent>
    </w:r>
    <w:r w:rsidRPr="00D678DC">
      <w:rPr>
        <w:rFonts w:ascii="Sabon LT Std" w:hAnsi="Sabon LT Std"/>
        <w:color w:val="666666"/>
        <w:sz w:val="14"/>
        <w:szCs w:val="14"/>
      </w:rPr>
      <w:t>The University of New Mexico</w:t>
    </w:r>
    <w:r w:rsidRPr="00D678DC">
      <w:rPr>
        <w:rFonts w:ascii="Sabon LT Std" w:hAnsi="Sabon LT Std"/>
        <w:b/>
        <w:color w:val="666666"/>
        <w:sz w:val="14"/>
        <w:szCs w:val="14"/>
      </w:rPr>
      <w:t xml:space="preserve"> ∙</w:t>
    </w:r>
    <w:r w:rsidRPr="00D678DC">
      <w:rPr>
        <w:rFonts w:ascii="Sabon LT Std" w:hAnsi="Sabon LT Std"/>
        <w:color w:val="666666"/>
        <w:sz w:val="14"/>
        <w:szCs w:val="14"/>
      </w:rPr>
      <w:t xml:space="preserve"> MSC05 3480</w:t>
    </w:r>
    <w:r w:rsidRPr="00D678DC">
      <w:rPr>
        <w:rFonts w:ascii="Sabon LT Std" w:hAnsi="Sabon LT Std"/>
        <w:b/>
        <w:color w:val="666666"/>
        <w:sz w:val="14"/>
        <w:szCs w:val="14"/>
      </w:rPr>
      <w:t xml:space="preserve"> ∙</w:t>
    </w:r>
    <w:r w:rsidRPr="00D678DC">
      <w:rPr>
        <w:rFonts w:ascii="Sabon LT Std" w:hAnsi="Sabon LT Std"/>
        <w:color w:val="666666"/>
        <w:sz w:val="14"/>
        <w:szCs w:val="14"/>
      </w:rPr>
      <w:t xml:space="preserve"> 1 University of New Mexico</w:t>
    </w:r>
    <w:r w:rsidRPr="00D678DC">
      <w:rPr>
        <w:rFonts w:ascii="Sabon LT Std" w:hAnsi="Sabon LT Std"/>
        <w:b/>
        <w:color w:val="666666"/>
        <w:sz w:val="14"/>
        <w:szCs w:val="14"/>
      </w:rPr>
      <w:t xml:space="preserve"> ∙</w:t>
    </w:r>
    <w:r w:rsidRPr="00D678DC">
      <w:rPr>
        <w:rFonts w:ascii="Sabon LT Std" w:hAnsi="Sabon LT Std"/>
        <w:color w:val="666666"/>
        <w:sz w:val="14"/>
        <w:szCs w:val="14"/>
      </w:rPr>
      <w:t xml:space="preserve"> Albuquerque, NM 87131-0001</w:t>
    </w:r>
    <w:r w:rsidRPr="00D678DC">
      <w:rPr>
        <w:rFonts w:ascii="Sabon LT Std" w:hAnsi="Sabon LT Std"/>
        <w:b/>
        <w:color w:val="666666"/>
        <w:sz w:val="14"/>
        <w:szCs w:val="14"/>
      </w:rPr>
      <w:t xml:space="preserve"> ∙</w:t>
    </w:r>
    <w:r w:rsidRPr="00D678DC">
      <w:rPr>
        <w:rFonts w:ascii="Sabon LT Std" w:hAnsi="Sabon LT Std"/>
        <w:color w:val="666666"/>
        <w:sz w:val="14"/>
        <w:szCs w:val="14"/>
      </w:rPr>
      <w:t xml:space="preserve"> Phone 505.277.6128</w:t>
    </w:r>
    <w:r w:rsidRPr="00D678DC">
      <w:rPr>
        <w:rFonts w:ascii="Sabon LT Std" w:hAnsi="Sabon LT Std"/>
        <w:b/>
        <w:color w:val="666666"/>
        <w:sz w:val="14"/>
        <w:szCs w:val="14"/>
      </w:rPr>
      <w:t xml:space="preserve"> ∙</w:t>
    </w:r>
    <w:r w:rsidRPr="00D678DC">
      <w:rPr>
        <w:rFonts w:ascii="Sabon LT Std" w:hAnsi="Sabon LT Std"/>
        <w:color w:val="666666"/>
        <w:sz w:val="14"/>
        <w:szCs w:val="14"/>
      </w:rPr>
      <w:t xml:space="preserve"> Fax 505.277.5271 </w:t>
    </w:r>
    <w:r w:rsidRPr="00D678DC">
      <w:rPr>
        <w:rFonts w:ascii="Sabon LT Std" w:hAnsi="Sabon LT Std"/>
        <w:b/>
        <w:color w:val="666666"/>
        <w:sz w:val="14"/>
        <w:szCs w:val="14"/>
      </w:rPr>
      <w:t xml:space="preserve">∙ </w:t>
    </w:r>
    <w:hyperlink r:id="rId1" w:history="1">
      <w:r w:rsidRPr="007F6BA9">
        <w:rPr>
          <w:rStyle w:val="Hyperlink"/>
          <w:rFonts w:ascii="Sabon LT Std" w:hAnsi="Sabon LT Std"/>
          <w:sz w:val="14"/>
          <w:szCs w:val="14"/>
        </w:rPr>
        <w:t>http://research.unm.edu</w:t>
      </w:r>
    </w:hyperlink>
  </w:p>
  <w:p w14:paraId="4FA6F4A0" w14:textId="036A0E0C" w:rsidR="00EE2F19" w:rsidRPr="00D678DC" w:rsidRDefault="00EE2F19" w:rsidP="00DC2385">
    <w:pPr>
      <w:pStyle w:val="Footer"/>
      <w:tabs>
        <w:tab w:val="clear" w:pos="9360"/>
        <w:tab w:val="right" w:pos="9900"/>
      </w:tabs>
      <w:spacing w:after="120"/>
      <w:ind w:left="-2160" w:right="-2160"/>
      <w:jc w:val="center"/>
      <w:rPr>
        <w:rFonts w:ascii="Sabon LT Std" w:hAnsi="Sabon LT Std"/>
        <w:color w:val="666666"/>
        <w:sz w:val="14"/>
        <w:szCs w:val="14"/>
      </w:rPr>
    </w:pPr>
    <w:r w:rsidRPr="00D678DC">
      <w:rPr>
        <w:rFonts w:ascii="Sabon LT Std" w:hAnsi="Sabon LT Std"/>
        <w:color w:val="666666"/>
        <w:sz w:val="14"/>
        <w:szCs w:val="14"/>
      </w:rPr>
      <w:t>Scholes Hall, Suite 327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80751" w14:textId="77777777" w:rsidR="002D0D6E" w:rsidRDefault="002D0D6E" w:rsidP="002C7DC7">
      <w:pPr>
        <w:spacing w:after="0" w:line="240" w:lineRule="auto"/>
      </w:pPr>
      <w:r>
        <w:separator/>
      </w:r>
    </w:p>
  </w:footnote>
  <w:footnote w:type="continuationSeparator" w:id="0">
    <w:p w14:paraId="3902BE68" w14:textId="77777777" w:rsidR="002D0D6E" w:rsidRDefault="002D0D6E" w:rsidP="002C7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23A9B" w14:textId="2DFC7061" w:rsidR="00EE2F19" w:rsidRDefault="00EE2F19" w:rsidP="00A575AC">
    <w:pPr>
      <w:pStyle w:val="Header"/>
      <w:tabs>
        <w:tab w:val="left" w:pos="0"/>
      </w:tabs>
      <w:rPr>
        <w:noProof/>
        <w:sz w:val="16"/>
        <w:szCs w:val="16"/>
      </w:rPr>
    </w:pPr>
    <w:r>
      <w:rPr>
        <w:noProof/>
        <w:sz w:val="16"/>
        <w:szCs w:val="16"/>
      </w:rPr>
      <w:drawing>
        <wp:anchor distT="0" distB="0" distL="114300" distR="114300" simplePos="0" relativeHeight="251660288" behindDoc="0" locked="0" layoutInCell="1" allowOverlap="1" wp14:anchorId="63AEAFBF" wp14:editId="5B626EBD">
          <wp:simplePos x="0" y="0"/>
          <wp:positionH relativeFrom="column">
            <wp:posOffset>-69850</wp:posOffset>
          </wp:positionH>
          <wp:positionV relativeFrom="paragraph">
            <wp:posOffset>-228600</wp:posOffset>
          </wp:positionV>
          <wp:extent cx="5207000" cy="609600"/>
          <wp:effectExtent l="0" t="0" r="0" b="0"/>
          <wp:wrapThrough wrapText="bothSides">
            <wp:wrapPolygon edited="0">
              <wp:start x="1054" y="900"/>
              <wp:lineTo x="211" y="8100"/>
              <wp:lineTo x="211" y="13500"/>
              <wp:lineTo x="1897" y="17100"/>
              <wp:lineTo x="2318" y="19800"/>
              <wp:lineTo x="3056" y="19800"/>
              <wp:lineTo x="20441" y="14400"/>
              <wp:lineTo x="20336" y="6300"/>
              <wp:lineTo x="2002" y="900"/>
              <wp:lineTo x="1054" y="900"/>
            </wp:wrapPolygon>
          </wp:wrapThrough>
          <wp:docPr id="3" name="Picture 3" descr="Macintosh HD:Users:vtan:Documents:Vanessa:Images:Logos:OVPR:UNMOVPR_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tan:Documents:Vanessa:Images:Logos:OVPR:UNMOVPR_log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t xml:space="preserve">                                                                     </w:t>
    </w:r>
  </w:p>
  <w:p w14:paraId="6EBF0E8B" w14:textId="09C4B98D" w:rsidR="00EE2F19" w:rsidRPr="002F418A" w:rsidRDefault="00EE2F19" w:rsidP="00242AB1">
    <w:pPr>
      <w:pStyle w:val="Header"/>
      <w:rPr>
        <w:rFonts w:ascii="Times" w:hAnsi="Times"/>
        <w:color w:val="808080"/>
        <w:sz w:val="28"/>
        <w:szCs w:val="28"/>
      </w:rPr>
    </w:pPr>
    <w:r>
      <w:rPr>
        <w:noProof/>
        <w:sz w:val="16"/>
        <w:szCs w:val="16"/>
      </w:rPr>
      <w:t xml:space="preserve">                                                                    </w:t>
    </w:r>
  </w:p>
  <w:p w14:paraId="550AB7DB" w14:textId="3E03CF40" w:rsidR="00EE2F19" w:rsidRPr="00F53452" w:rsidRDefault="00EE2F19" w:rsidP="00F5345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C02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F04E7"/>
    <w:multiLevelType w:val="hybridMultilevel"/>
    <w:tmpl w:val="39AAB886"/>
    <w:lvl w:ilvl="0" w:tplc="2962E64C">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B6A62"/>
    <w:multiLevelType w:val="hybridMultilevel"/>
    <w:tmpl w:val="F42AA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60B9F"/>
    <w:multiLevelType w:val="hybridMultilevel"/>
    <w:tmpl w:val="45C612EC"/>
    <w:lvl w:ilvl="0" w:tplc="3B80EB32">
      <w:start w:val="1"/>
      <w:numFmt w:val="bullet"/>
      <w:lvlText w:val=""/>
      <w:lvlJc w:val="left"/>
      <w:pPr>
        <w:ind w:left="1800" w:hanging="360"/>
      </w:pPr>
      <w:rPr>
        <w:rFonts w:ascii="Times New Roman" w:hAnsi="Times New Roman" w:cs="Times New Roman" w:hint="default"/>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C43DF9"/>
    <w:multiLevelType w:val="hybridMultilevel"/>
    <w:tmpl w:val="4EC0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C2E81"/>
    <w:multiLevelType w:val="multilevel"/>
    <w:tmpl w:val="78A6E350"/>
    <w:styleLink w:val="List0"/>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 w15:restartNumberingAfterBreak="0">
    <w:nsid w:val="1BB51611"/>
    <w:multiLevelType w:val="hybridMultilevel"/>
    <w:tmpl w:val="7B7E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63BBE"/>
    <w:multiLevelType w:val="hybridMultilevel"/>
    <w:tmpl w:val="42761630"/>
    <w:lvl w:ilvl="0" w:tplc="EAFED7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C7AFA"/>
    <w:multiLevelType w:val="hybridMultilevel"/>
    <w:tmpl w:val="1346D6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B5874"/>
    <w:multiLevelType w:val="hybridMultilevel"/>
    <w:tmpl w:val="3B3A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B036C"/>
    <w:multiLevelType w:val="hybridMultilevel"/>
    <w:tmpl w:val="C882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529A2"/>
    <w:multiLevelType w:val="multilevel"/>
    <w:tmpl w:val="D6BEDB1A"/>
    <w:styleLink w:val="List41"/>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 w15:restartNumberingAfterBreak="0">
    <w:nsid w:val="2E301B75"/>
    <w:multiLevelType w:val="hybridMultilevel"/>
    <w:tmpl w:val="3D6E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E7164"/>
    <w:multiLevelType w:val="hybridMultilevel"/>
    <w:tmpl w:val="E3E203E2"/>
    <w:lvl w:ilvl="0" w:tplc="04090001">
      <w:start w:val="1"/>
      <w:numFmt w:val="bullet"/>
      <w:lvlText w:val=""/>
      <w:lvlJc w:val="left"/>
      <w:pPr>
        <w:ind w:left="720" w:hanging="360"/>
      </w:pPr>
      <w:rPr>
        <w:rFonts w:ascii="Symbol" w:hAnsi="Symbol" w:hint="default"/>
      </w:rPr>
    </w:lvl>
    <w:lvl w:ilvl="1" w:tplc="4F94615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23C18"/>
    <w:multiLevelType w:val="multilevel"/>
    <w:tmpl w:val="607CE068"/>
    <w:styleLink w:val="List8"/>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15:restartNumberingAfterBreak="0">
    <w:nsid w:val="38764D2E"/>
    <w:multiLevelType w:val="multilevel"/>
    <w:tmpl w:val="660444AC"/>
    <w:styleLink w:val="List21"/>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 w15:restartNumberingAfterBreak="0">
    <w:nsid w:val="39C50189"/>
    <w:multiLevelType w:val="hybridMultilevel"/>
    <w:tmpl w:val="8FC0271C"/>
    <w:lvl w:ilvl="0" w:tplc="1DA6C26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41B0D"/>
    <w:multiLevelType w:val="hybridMultilevel"/>
    <w:tmpl w:val="ED1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E1DDE"/>
    <w:multiLevelType w:val="hybridMultilevel"/>
    <w:tmpl w:val="0A8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0809"/>
    <w:multiLevelType w:val="hybridMultilevel"/>
    <w:tmpl w:val="F8F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602E4"/>
    <w:multiLevelType w:val="hybridMultilevel"/>
    <w:tmpl w:val="3384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E75EE"/>
    <w:multiLevelType w:val="hybridMultilevel"/>
    <w:tmpl w:val="0AC0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2393B"/>
    <w:multiLevelType w:val="hybridMultilevel"/>
    <w:tmpl w:val="7F1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B29E5"/>
    <w:multiLevelType w:val="multilevel"/>
    <w:tmpl w:val="037E522C"/>
    <w:styleLink w:val="List9"/>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4" w15:restartNumberingAfterBreak="0">
    <w:nsid w:val="501D2C6C"/>
    <w:multiLevelType w:val="multilevel"/>
    <w:tmpl w:val="DF3CC2C2"/>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 w15:restartNumberingAfterBreak="0">
    <w:nsid w:val="53EF4FD0"/>
    <w:multiLevelType w:val="hybridMultilevel"/>
    <w:tmpl w:val="FC62E29E"/>
    <w:lvl w:ilvl="0" w:tplc="EAFED7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F0D15"/>
    <w:multiLevelType w:val="hybridMultilevel"/>
    <w:tmpl w:val="0F5E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515F8"/>
    <w:multiLevelType w:val="hybridMultilevel"/>
    <w:tmpl w:val="221E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9717D"/>
    <w:multiLevelType w:val="hybridMultilevel"/>
    <w:tmpl w:val="4028D3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0FE3DF7"/>
    <w:multiLevelType w:val="hybridMultilevel"/>
    <w:tmpl w:val="E8C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627B9"/>
    <w:multiLevelType w:val="multilevel"/>
    <w:tmpl w:val="4E52FB8A"/>
    <w:styleLink w:val="List1"/>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1" w15:restartNumberingAfterBreak="0">
    <w:nsid w:val="640C601F"/>
    <w:multiLevelType w:val="multilevel"/>
    <w:tmpl w:val="B734CBE0"/>
    <w:styleLink w:val="List6"/>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2" w15:restartNumberingAfterBreak="0">
    <w:nsid w:val="64170FD0"/>
    <w:multiLevelType w:val="multilevel"/>
    <w:tmpl w:val="B8FA08D4"/>
    <w:styleLink w:val="List51"/>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67E91D4A"/>
    <w:multiLevelType w:val="hybridMultilevel"/>
    <w:tmpl w:val="BEFC61BA"/>
    <w:lvl w:ilvl="0" w:tplc="B712D252">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436DA4"/>
    <w:multiLevelType w:val="multilevel"/>
    <w:tmpl w:val="1BD64C10"/>
    <w:styleLink w:val="List31"/>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5" w15:restartNumberingAfterBreak="0">
    <w:nsid w:val="6A922220"/>
    <w:multiLevelType w:val="hybridMultilevel"/>
    <w:tmpl w:val="C4965B02"/>
    <w:lvl w:ilvl="0" w:tplc="3B80EB32">
      <w:start w:val="1"/>
      <w:numFmt w:val="bullet"/>
      <w:lvlText w:val=""/>
      <w:lvlJc w:val="left"/>
      <w:pPr>
        <w:ind w:left="180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15F6F"/>
    <w:multiLevelType w:val="hybridMultilevel"/>
    <w:tmpl w:val="FD7AD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13260"/>
    <w:multiLevelType w:val="multilevel"/>
    <w:tmpl w:val="7744FD82"/>
    <w:styleLink w:val="List7"/>
    <w:lvl w:ilvl="0">
      <w:numFmt w:val="bullet"/>
      <w:lvlText w:val="•"/>
      <w:lvlJc w:val="left"/>
      <w:pPr>
        <w:tabs>
          <w:tab w:val="num" w:pos="480"/>
        </w:tabs>
        <w:ind w:left="480" w:hanging="12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7"/>
        </w:tabs>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8" w15:restartNumberingAfterBreak="0">
    <w:nsid w:val="767778DB"/>
    <w:multiLevelType w:val="hybridMultilevel"/>
    <w:tmpl w:val="5C4A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C241C"/>
    <w:multiLevelType w:val="hybridMultilevel"/>
    <w:tmpl w:val="E9D8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8"/>
  </w:num>
  <w:num w:numId="4">
    <w:abstractNumId w:val="10"/>
  </w:num>
  <w:num w:numId="5">
    <w:abstractNumId w:val="6"/>
  </w:num>
  <w:num w:numId="6">
    <w:abstractNumId w:val="39"/>
  </w:num>
  <w:num w:numId="7">
    <w:abstractNumId w:val="36"/>
  </w:num>
  <w:num w:numId="8">
    <w:abstractNumId w:val="0"/>
  </w:num>
  <w:num w:numId="9">
    <w:abstractNumId w:val="4"/>
  </w:num>
  <w:num w:numId="10">
    <w:abstractNumId w:val="38"/>
  </w:num>
  <w:num w:numId="11">
    <w:abstractNumId w:val="22"/>
  </w:num>
  <w:num w:numId="12">
    <w:abstractNumId w:val="2"/>
  </w:num>
  <w:num w:numId="13">
    <w:abstractNumId w:val="1"/>
  </w:num>
  <w:num w:numId="14">
    <w:abstractNumId w:val="19"/>
  </w:num>
  <w:num w:numId="15">
    <w:abstractNumId w:val="25"/>
  </w:num>
  <w:num w:numId="16">
    <w:abstractNumId w:val="7"/>
  </w:num>
  <w:num w:numId="17">
    <w:abstractNumId w:val="16"/>
  </w:num>
  <w:num w:numId="18">
    <w:abstractNumId w:val="13"/>
  </w:num>
  <w:num w:numId="19">
    <w:abstractNumId w:val="18"/>
  </w:num>
  <w:num w:numId="20">
    <w:abstractNumId w:val="17"/>
  </w:num>
  <w:num w:numId="21">
    <w:abstractNumId w:val="20"/>
  </w:num>
  <w:num w:numId="22">
    <w:abstractNumId w:val="8"/>
  </w:num>
  <w:num w:numId="23">
    <w:abstractNumId w:val="12"/>
  </w:num>
  <w:num w:numId="24">
    <w:abstractNumId w:val="33"/>
  </w:num>
  <w:num w:numId="25">
    <w:abstractNumId w:val="27"/>
  </w:num>
  <w:num w:numId="26">
    <w:abstractNumId w:val="29"/>
  </w:num>
  <w:num w:numId="27">
    <w:abstractNumId w:val="26"/>
  </w:num>
  <w:num w:numId="28">
    <w:abstractNumId w:val="3"/>
  </w:num>
  <w:num w:numId="29">
    <w:abstractNumId w:val="35"/>
  </w:num>
  <w:num w:numId="30">
    <w:abstractNumId w:val="24"/>
  </w:num>
  <w:num w:numId="31">
    <w:abstractNumId w:val="5"/>
  </w:num>
  <w:num w:numId="32">
    <w:abstractNumId w:val="30"/>
  </w:num>
  <w:num w:numId="33">
    <w:abstractNumId w:val="15"/>
  </w:num>
  <w:num w:numId="34">
    <w:abstractNumId w:val="34"/>
  </w:num>
  <w:num w:numId="35">
    <w:abstractNumId w:val="11"/>
  </w:num>
  <w:num w:numId="36">
    <w:abstractNumId w:val="32"/>
  </w:num>
  <w:num w:numId="37">
    <w:abstractNumId w:val="31"/>
  </w:num>
  <w:num w:numId="38">
    <w:abstractNumId w:val="37"/>
  </w:num>
  <w:num w:numId="39">
    <w:abstractNumId w:val="1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C7"/>
    <w:rsid w:val="00005A40"/>
    <w:rsid w:val="00026A28"/>
    <w:rsid w:val="00051E35"/>
    <w:rsid w:val="00062AC4"/>
    <w:rsid w:val="0006482D"/>
    <w:rsid w:val="00071A25"/>
    <w:rsid w:val="00081632"/>
    <w:rsid w:val="00085D43"/>
    <w:rsid w:val="00087BB9"/>
    <w:rsid w:val="0009615A"/>
    <w:rsid w:val="000C64FD"/>
    <w:rsid w:val="000D3D6C"/>
    <w:rsid w:val="000D6883"/>
    <w:rsid w:val="000F363A"/>
    <w:rsid w:val="000F7A53"/>
    <w:rsid w:val="00100E5B"/>
    <w:rsid w:val="00107B14"/>
    <w:rsid w:val="00127309"/>
    <w:rsid w:val="001420A3"/>
    <w:rsid w:val="00152364"/>
    <w:rsid w:val="001820A3"/>
    <w:rsid w:val="001854B4"/>
    <w:rsid w:val="0018556F"/>
    <w:rsid w:val="001860A3"/>
    <w:rsid w:val="00192761"/>
    <w:rsid w:val="00195C38"/>
    <w:rsid w:val="001B0FD5"/>
    <w:rsid w:val="001C5637"/>
    <w:rsid w:val="001E3EBF"/>
    <w:rsid w:val="001E69DA"/>
    <w:rsid w:val="001F0F67"/>
    <w:rsid w:val="00234179"/>
    <w:rsid w:val="002359A0"/>
    <w:rsid w:val="002414D4"/>
    <w:rsid w:val="00242AB1"/>
    <w:rsid w:val="00250D97"/>
    <w:rsid w:val="0025430A"/>
    <w:rsid w:val="00281851"/>
    <w:rsid w:val="00281DB3"/>
    <w:rsid w:val="00294357"/>
    <w:rsid w:val="002B6210"/>
    <w:rsid w:val="002C7DC7"/>
    <w:rsid w:val="002D0BC6"/>
    <w:rsid w:val="002D0D6E"/>
    <w:rsid w:val="002D5B29"/>
    <w:rsid w:val="002D646C"/>
    <w:rsid w:val="003021A3"/>
    <w:rsid w:val="00325210"/>
    <w:rsid w:val="00354D83"/>
    <w:rsid w:val="003603AC"/>
    <w:rsid w:val="003827E5"/>
    <w:rsid w:val="0039044E"/>
    <w:rsid w:val="003A158F"/>
    <w:rsid w:val="003C13A6"/>
    <w:rsid w:val="003D6031"/>
    <w:rsid w:val="003F3710"/>
    <w:rsid w:val="003F438F"/>
    <w:rsid w:val="00442746"/>
    <w:rsid w:val="00453A7C"/>
    <w:rsid w:val="00455966"/>
    <w:rsid w:val="00471005"/>
    <w:rsid w:val="004C4938"/>
    <w:rsid w:val="004C65F3"/>
    <w:rsid w:val="004D3E8A"/>
    <w:rsid w:val="004D5691"/>
    <w:rsid w:val="004F0635"/>
    <w:rsid w:val="0050335A"/>
    <w:rsid w:val="0051231C"/>
    <w:rsid w:val="00532F3C"/>
    <w:rsid w:val="00560B9A"/>
    <w:rsid w:val="0057567C"/>
    <w:rsid w:val="00585E01"/>
    <w:rsid w:val="005923A8"/>
    <w:rsid w:val="00592AA9"/>
    <w:rsid w:val="00596AC4"/>
    <w:rsid w:val="005A0174"/>
    <w:rsid w:val="005D1B97"/>
    <w:rsid w:val="00607A84"/>
    <w:rsid w:val="006129A9"/>
    <w:rsid w:val="00636AC7"/>
    <w:rsid w:val="00650782"/>
    <w:rsid w:val="00657F29"/>
    <w:rsid w:val="00665607"/>
    <w:rsid w:val="00673932"/>
    <w:rsid w:val="00677D00"/>
    <w:rsid w:val="006B0673"/>
    <w:rsid w:val="006B7A9B"/>
    <w:rsid w:val="006C2D7B"/>
    <w:rsid w:val="006D5D3A"/>
    <w:rsid w:val="0073447A"/>
    <w:rsid w:val="00772AD7"/>
    <w:rsid w:val="007771A6"/>
    <w:rsid w:val="0078149E"/>
    <w:rsid w:val="0078302E"/>
    <w:rsid w:val="00784199"/>
    <w:rsid w:val="007A14B6"/>
    <w:rsid w:val="007A5200"/>
    <w:rsid w:val="007B058E"/>
    <w:rsid w:val="007B2488"/>
    <w:rsid w:val="007C5D86"/>
    <w:rsid w:val="007E0F92"/>
    <w:rsid w:val="007F4D15"/>
    <w:rsid w:val="007F4E02"/>
    <w:rsid w:val="007F6BA9"/>
    <w:rsid w:val="007F7D66"/>
    <w:rsid w:val="008107AD"/>
    <w:rsid w:val="008168EB"/>
    <w:rsid w:val="00861852"/>
    <w:rsid w:val="00873C4A"/>
    <w:rsid w:val="008768C9"/>
    <w:rsid w:val="008847F1"/>
    <w:rsid w:val="00890CB9"/>
    <w:rsid w:val="008A4C84"/>
    <w:rsid w:val="008B675B"/>
    <w:rsid w:val="008C4D9C"/>
    <w:rsid w:val="008E67BF"/>
    <w:rsid w:val="00903220"/>
    <w:rsid w:val="00911D0F"/>
    <w:rsid w:val="00915936"/>
    <w:rsid w:val="00917FB8"/>
    <w:rsid w:val="00933B04"/>
    <w:rsid w:val="00950818"/>
    <w:rsid w:val="009870E4"/>
    <w:rsid w:val="00995634"/>
    <w:rsid w:val="009A2A44"/>
    <w:rsid w:val="009B6514"/>
    <w:rsid w:val="009C5B4A"/>
    <w:rsid w:val="009D4EB4"/>
    <w:rsid w:val="009E231C"/>
    <w:rsid w:val="009E4AE3"/>
    <w:rsid w:val="009F0E02"/>
    <w:rsid w:val="009F19F4"/>
    <w:rsid w:val="00A375C4"/>
    <w:rsid w:val="00A46297"/>
    <w:rsid w:val="00A512F9"/>
    <w:rsid w:val="00A542D1"/>
    <w:rsid w:val="00A56D42"/>
    <w:rsid w:val="00A575AC"/>
    <w:rsid w:val="00A747E7"/>
    <w:rsid w:val="00A77388"/>
    <w:rsid w:val="00A91462"/>
    <w:rsid w:val="00A930F1"/>
    <w:rsid w:val="00AB1E14"/>
    <w:rsid w:val="00B004E6"/>
    <w:rsid w:val="00B074FF"/>
    <w:rsid w:val="00B157ED"/>
    <w:rsid w:val="00B438A8"/>
    <w:rsid w:val="00B43FA5"/>
    <w:rsid w:val="00B45142"/>
    <w:rsid w:val="00B56638"/>
    <w:rsid w:val="00B7722D"/>
    <w:rsid w:val="00B81AE7"/>
    <w:rsid w:val="00B84EF5"/>
    <w:rsid w:val="00B97CA5"/>
    <w:rsid w:val="00BA713A"/>
    <w:rsid w:val="00BB0FCD"/>
    <w:rsid w:val="00BD142E"/>
    <w:rsid w:val="00BE0473"/>
    <w:rsid w:val="00BE5E08"/>
    <w:rsid w:val="00C304D4"/>
    <w:rsid w:val="00C40EEA"/>
    <w:rsid w:val="00C52CEE"/>
    <w:rsid w:val="00C60B40"/>
    <w:rsid w:val="00CC2701"/>
    <w:rsid w:val="00CC3935"/>
    <w:rsid w:val="00CC4429"/>
    <w:rsid w:val="00CD3914"/>
    <w:rsid w:val="00CD6F5C"/>
    <w:rsid w:val="00D06960"/>
    <w:rsid w:val="00D22266"/>
    <w:rsid w:val="00D2685B"/>
    <w:rsid w:val="00D275F9"/>
    <w:rsid w:val="00D5396D"/>
    <w:rsid w:val="00D6017C"/>
    <w:rsid w:val="00D62079"/>
    <w:rsid w:val="00D678DC"/>
    <w:rsid w:val="00D7025B"/>
    <w:rsid w:val="00D721EC"/>
    <w:rsid w:val="00D72A46"/>
    <w:rsid w:val="00D74931"/>
    <w:rsid w:val="00D75E97"/>
    <w:rsid w:val="00D9547F"/>
    <w:rsid w:val="00DA5491"/>
    <w:rsid w:val="00DB798A"/>
    <w:rsid w:val="00DC2385"/>
    <w:rsid w:val="00DD2CB6"/>
    <w:rsid w:val="00DD739B"/>
    <w:rsid w:val="00DE428F"/>
    <w:rsid w:val="00E0608F"/>
    <w:rsid w:val="00E12636"/>
    <w:rsid w:val="00E22525"/>
    <w:rsid w:val="00E316C4"/>
    <w:rsid w:val="00E37BE9"/>
    <w:rsid w:val="00E56869"/>
    <w:rsid w:val="00E61C4C"/>
    <w:rsid w:val="00E64539"/>
    <w:rsid w:val="00E87B23"/>
    <w:rsid w:val="00E97905"/>
    <w:rsid w:val="00EA00D7"/>
    <w:rsid w:val="00EC7B51"/>
    <w:rsid w:val="00EE0E3C"/>
    <w:rsid w:val="00EE2F19"/>
    <w:rsid w:val="00EE35F7"/>
    <w:rsid w:val="00F03719"/>
    <w:rsid w:val="00F2724A"/>
    <w:rsid w:val="00F32ABA"/>
    <w:rsid w:val="00F35789"/>
    <w:rsid w:val="00F37A64"/>
    <w:rsid w:val="00F53452"/>
    <w:rsid w:val="00F85036"/>
    <w:rsid w:val="00F85EDB"/>
    <w:rsid w:val="00F86D7F"/>
    <w:rsid w:val="00FC2671"/>
    <w:rsid w:val="00FC3B41"/>
    <w:rsid w:val="00FC4DE7"/>
    <w:rsid w:val="00FE49EC"/>
    <w:rsid w:val="00FF0FAA"/>
    <w:rsid w:val="00FF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B88031"/>
  <w14:defaultImageDpi w14:val="300"/>
  <w15:docId w15:val="{A4DBA7C5-CA3B-43EE-9F88-98537B31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8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C7"/>
  </w:style>
  <w:style w:type="paragraph" w:styleId="Footer">
    <w:name w:val="footer"/>
    <w:basedOn w:val="Normal"/>
    <w:link w:val="FooterChar"/>
    <w:uiPriority w:val="99"/>
    <w:unhideWhenUsed/>
    <w:rsid w:val="002C7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C7"/>
  </w:style>
  <w:style w:type="character" w:styleId="Hyperlink">
    <w:name w:val="Hyperlink"/>
    <w:uiPriority w:val="99"/>
    <w:unhideWhenUsed/>
    <w:rsid w:val="002C7DC7"/>
    <w:rPr>
      <w:color w:val="0000FF"/>
      <w:u w:val="single"/>
    </w:rPr>
  </w:style>
  <w:style w:type="paragraph" w:styleId="BodyText">
    <w:name w:val="Body Text"/>
    <w:basedOn w:val="Normal"/>
    <w:link w:val="BodyTextChar"/>
    <w:semiHidden/>
    <w:rsid w:val="00F03719"/>
    <w:pPr>
      <w:spacing w:after="0" w:line="240" w:lineRule="auto"/>
      <w:jc w:val="both"/>
    </w:pPr>
    <w:rPr>
      <w:rFonts w:ascii="Arial" w:eastAsia="Times New Roman" w:hAnsi="Arial"/>
      <w:color w:val="000000"/>
      <w:sz w:val="24"/>
      <w:szCs w:val="20"/>
    </w:rPr>
  </w:style>
  <w:style w:type="character" w:customStyle="1" w:styleId="BodyTextChar">
    <w:name w:val="Body Text Char"/>
    <w:link w:val="BodyText"/>
    <w:semiHidden/>
    <w:rsid w:val="00F03719"/>
    <w:rPr>
      <w:rFonts w:ascii="Arial" w:eastAsia="Times New Roman" w:hAnsi="Arial"/>
      <w:color w:val="000000"/>
      <w:sz w:val="24"/>
    </w:rPr>
  </w:style>
  <w:style w:type="paragraph" w:styleId="BalloonText">
    <w:name w:val="Balloon Text"/>
    <w:basedOn w:val="Normal"/>
    <w:link w:val="BalloonTextChar"/>
    <w:uiPriority w:val="99"/>
    <w:semiHidden/>
    <w:unhideWhenUsed/>
    <w:rsid w:val="00F037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719"/>
    <w:rPr>
      <w:rFonts w:ascii="Tahoma" w:hAnsi="Tahoma" w:cs="Tahoma"/>
      <w:sz w:val="16"/>
      <w:szCs w:val="16"/>
    </w:rPr>
  </w:style>
  <w:style w:type="character" w:styleId="Strong">
    <w:name w:val="Strong"/>
    <w:uiPriority w:val="22"/>
    <w:qFormat/>
    <w:rsid w:val="0078302E"/>
    <w:rPr>
      <w:b/>
      <w:bCs/>
    </w:rPr>
  </w:style>
  <w:style w:type="table" w:styleId="TableGrid">
    <w:name w:val="Table Grid"/>
    <w:basedOn w:val="TableNormal"/>
    <w:uiPriority w:val="59"/>
    <w:rsid w:val="0009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1E14"/>
    <w:pPr>
      <w:spacing w:line="240" w:lineRule="auto"/>
      <w:ind w:left="720"/>
      <w:contextualSpacing/>
    </w:pPr>
    <w:rPr>
      <w:sz w:val="24"/>
      <w:szCs w:val="24"/>
    </w:rPr>
  </w:style>
  <w:style w:type="character" w:styleId="FollowedHyperlink">
    <w:name w:val="FollowedHyperlink"/>
    <w:basedOn w:val="DefaultParagraphFont"/>
    <w:uiPriority w:val="99"/>
    <w:semiHidden/>
    <w:unhideWhenUsed/>
    <w:rsid w:val="00F53452"/>
    <w:rPr>
      <w:color w:val="800080" w:themeColor="followedHyperlink"/>
      <w:u w:val="single"/>
    </w:rPr>
  </w:style>
  <w:style w:type="paragraph" w:customStyle="1" w:styleId="BodyA">
    <w:name w:val="Body A"/>
    <w:rsid w:val="007F6BA9"/>
    <w:pPr>
      <w:pBdr>
        <w:top w:val="nil"/>
        <w:left w:val="nil"/>
        <w:bottom w:val="nil"/>
        <w:right w:val="nil"/>
        <w:between w:val="nil"/>
        <w:bar w:val="nil"/>
      </w:pBdr>
    </w:pPr>
    <w:rPr>
      <w:rFonts w:ascii="Cambria" w:eastAsia="Arial Unicode MS" w:hAnsi="Arial Unicode MS" w:cs="Arial Unicode MS"/>
      <w:color w:val="000000"/>
      <w:sz w:val="24"/>
      <w:szCs w:val="24"/>
      <w:u w:color="000000"/>
      <w:bdr w:val="nil"/>
    </w:rPr>
  </w:style>
  <w:style w:type="numbering" w:customStyle="1" w:styleId="List0">
    <w:name w:val="List 0"/>
    <w:basedOn w:val="NoList"/>
    <w:rsid w:val="007F6BA9"/>
    <w:pPr>
      <w:numPr>
        <w:numId w:val="31"/>
      </w:numPr>
    </w:pPr>
  </w:style>
  <w:style w:type="numbering" w:customStyle="1" w:styleId="List1">
    <w:name w:val="List 1"/>
    <w:basedOn w:val="NoList"/>
    <w:rsid w:val="007F6BA9"/>
    <w:pPr>
      <w:numPr>
        <w:numId w:val="32"/>
      </w:numPr>
    </w:pPr>
  </w:style>
  <w:style w:type="numbering" w:customStyle="1" w:styleId="List21">
    <w:name w:val="List 21"/>
    <w:basedOn w:val="NoList"/>
    <w:rsid w:val="007F6BA9"/>
    <w:pPr>
      <w:numPr>
        <w:numId w:val="33"/>
      </w:numPr>
    </w:pPr>
  </w:style>
  <w:style w:type="numbering" w:customStyle="1" w:styleId="List31">
    <w:name w:val="List 31"/>
    <w:basedOn w:val="NoList"/>
    <w:rsid w:val="007F6BA9"/>
    <w:pPr>
      <w:numPr>
        <w:numId w:val="34"/>
      </w:numPr>
    </w:pPr>
  </w:style>
  <w:style w:type="numbering" w:customStyle="1" w:styleId="List41">
    <w:name w:val="List 41"/>
    <w:basedOn w:val="NoList"/>
    <w:rsid w:val="007F6BA9"/>
    <w:pPr>
      <w:numPr>
        <w:numId w:val="35"/>
      </w:numPr>
    </w:pPr>
  </w:style>
  <w:style w:type="numbering" w:customStyle="1" w:styleId="List51">
    <w:name w:val="List 51"/>
    <w:basedOn w:val="NoList"/>
    <w:rsid w:val="007F6BA9"/>
    <w:pPr>
      <w:numPr>
        <w:numId w:val="36"/>
      </w:numPr>
    </w:pPr>
  </w:style>
  <w:style w:type="numbering" w:customStyle="1" w:styleId="List6">
    <w:name w:val="List 6"/>
    <w:basedOn w:val="NoList"/>
    <w:rsid w:val="007F6BA9"/>
    <w:pPr>
      <w:numPr>
        <w:numId w:val="37"/>
      </w:numPr>
    </w:pPr>
  </w:style>
  <w:style w:type="numbering" w:customStyle="1" w:styleId="List7">
    <w:name w:val="List 7"/>
    <w:basedOn w:val="NoList"/>
    <w:rsid w:val="007F6BA9"/>
    <w:pPr>
      <w:numPr>
        <w:numId w:val="38"/>
      </w:numPr>
    </w:pPr>
  </w:style>
  <w:style w:type="numbering" w:customStyle="1" w:styleId="List8">
    <w:name w:val="List 8"/>
    <w:basedOn w:val="NoList"/>
    <w:rsid w:val="007F6BA9"/>
    <w:pPr>
      <w:numPr>
        <w:numId w:val="39"/>
      </w:numPr>
    </w:pPr>
  </w:style>
  <w:style w:type="numbering" w:customStyle="1" w:styleId="List9">
    <w:name w:val="List 9"/>
    <w:basedOn w:val="NoList"/>
    <w:rsid w:val="007F6BA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397">
      <w:bodyDiv w:val="1"/>
      <w:marLeft w:val="0"/>
      <w:marRight w:val="0"/>
      <w:marTop w:val="0"/>
      <w:marBottom w:val="0"/>
      <w:divBdr>
        <w:top w:val="none" w:sz="0" w:space="0" w:color="auto"/>
        <w:left w:val="none" w:sz="0" w:space="0" w:color="auto"/>
        <w:bottom w:val="none" w:sz="0" w:space="0" w:color="auto"/>
        <w:right w:val="none" w:sz="0" w:space="0" w:color="auto"/>
      </w:divBdr>
    </w:div>
    <w:div w:id="511073493">
      <w:bodyDiv w:val="1"/>
      <w:marLeft w:val="0"/>
      <w:marRight w:val="0"/>
      <w:marTop w:val="0"/>
      <w:marBottom w:val="0"/>
      <w:divBdr>
        <w:top w:val="none" w:sz="0" w:space="0" w:color="auto"/>
        <w:left w:val="none" w:sz="0" w:space="0" w:color="auto"/>
        <w:bottom w:val="none" w:sz="0" w:space="0" w:color="auto"/>
        <w:right w:val="none" w:sz="0" w:space="0" w:color="auto"/>
      </w:divBdr>
    </w:div>
    <w:div w:id="603853642">
      <w:bodyDiv w:val="1"/>
      <w:marLeft w:val="0"/>
      <w:marRight w:val="0"/>
      <w:marTop w:val="0"/>
      <w:marBottom w:val="0"/>
      <w:divBdr>
        <w:top w:val="none" w:sz="0" w:space="0" w:color="auto"/>
        <w:left w:val="none" w:sz="0" w:space="0" w:color="auto"/>
        <w:bottom w:val="none" w:sz="0" w:space="0" w:color="auto"/>
        <w:right w:val="none" w:sz="0" w:space="0" w:color="auto"/>
      </w:divBdr>
    </w:div>
    <w:div w:id="1596326518">
      <w:bodyDiv w:val="1"/>
      <w:marLeft w:val="0"/>
      <w:marRight w:val="0"/>
      <w:marTop w:val="0"/>
      <w:marBottom w:val="0"/>
      <w:divBdr>
        <w:top w:val="none" w:sz="0" w:space="0" w:color="auto"/>
        <w:left w:val="none" w:sz="0" w:space="0" w:color="auto"/>
        <w:bottom w:val="none" w:sz="0" w:space="0" w:color="auto"/>
        <w:right w:val="none" w:sz="0" w:space="0" w:color="auto"/>
      </w:divBdr>
    </w:div>
    <w:div w:id="1778137607">
      <w:bodyDiv w:val="1"/>
      <w:marLeft w:val="0"/>
      <w:marRight w:val="0"/>
      <w:marTop w:val="0"/>
      <w:marBottom w:val="0"/>
      <w:divBdr>
        <w:top w:val="none" w:sz="0" w:space="0" w:color="auto"/>
        <w:left w:val="none" w:sz="0" w:space="0" w:color="auto"/>
        <w:bottom w:val="none" w:sz="0" w:space="0" w:color="auto"/>
        <w:right w:val="none" w:sz="0" w:space="0" w:color="auto"/>
      </w:divBdr>
    </w:div>
    <w:div w:id="1787695640">
      <w:bodyDiv w:val="1"/>
      <w:marLeft w:val="0"/>
      <w:marRight w:val="0"/>
      <w:marTop w:val="0"/>
      <w:marBottom w:val="0"/>
      <w:divBdr>
        <w:top w:val="none" w:sz="0" w:space="0" w:color="auto"/>
        <w:left w:val="none" w:sz="0" w:space="0" w:color="auto"/>
        <w:bottom w:val="none" w:sz="0" w:space="0" w:color="auto"/>
        <w:right w:val="none" w:sz="0" w:space="0" w:color="auto"/>
      </w:divBdr>
    </w:div>
    <w:div w:id="1898514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sp.unm.edu/sites/default/files/Deadline%20Submission%20Policy%201%206%2014.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jdaniel@unm.edu" TargetMode="External"/><Relationship Id="rId4" Type="http://schemas.openxmlformats.org/officeDocument/2006/relationships/settings" Target="settings.xml"/><Relationship Id="rId9" Type="http://schemas.openxmlformats.org/officeDocument/2006/relationships/hyperlink" Target="mailto:vtan@unm.ed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research.un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6B96-1108-435D-95B7-263CF0F5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Links>
    <vt:vector size="6" baseType="variant">
      <vt:variant>
        <vt:i4>2228251</vt:i4>
      </vt:variant>
      <vt:variant>
        <vt:i4>9</vt:i4>
      </vt:variant>
      <vt:variant>
        <vt:i4>0</vt:i4>
      </vt:variant>
      <vt:variant>
        <vt:i4>5</vt:i4>
      </vt:variant>
      <vt:variant>
        <vt:lpwstr>http://research.unm.edu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Gallegos</dc:creator>
  <cp:keywords/>
  <dc:description/>
  <cp:lastModifiedBy>Grace Lynn Faustino</cp:lastModifiedBy>
  <cp:revision>2</cp:revision>
  <cp:lastPrinted>2015-07-22T18:59:00Z</cp:lastPrinted>
  <dcterms:created xsi:type="dcterms:W3CDTF">2015-08-07T21:40:00Z</dcterms:created>
  <dcterms:modified xsi:type="dcterms:W3CDTF">2015-08-07T21:40:00Z</dcterms:modified>
</cp:coreProperties>
</file>