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F5A0" w14:textId="1ECED1C3" w:rsidR="00D131CC" w:rsidRDefault="002058B3">
      <w:pPr>
        <w:pStyle w:val="Body"/>
        <w:rPr>
          <w:rFonts w:ascii="Arial" w:hAnsi="Arial" w:cs="Arial"/>
          <w:b/>
          <w:bCs/>
        </w:rPr>
      </w:pPr>
      <w:bookmarkStart w:id="0" w:name="_GoBack"/>
      <w:bookmarkEnd w:id="0"/>
      <w:r>
        <w:rPr>
          <w:rFonts w:ascii="Arial" w:hAnsi="Arial" w:cs="Arial"/>
          <w:b/>
          <w:bCs/>
        </w:rPr>
        <w:t xml:space="preserve">Update: </w:t>
      </w:r>
      <w:r w:rsidRPr="006E3059">
        <w:rPr>
          <w:rFonts w:ascii="Arial" w:hAnsi="Arial" w:cs="Arial"/>
          <w:b/>
          <w:bCs/>
        </w:rPr>
        <w:t>Significant Changes and Clarifications to the NSF Proposal &amp; Award Policies &amp; Procedures Guide (PAPPG)</w:t>
      </w:r>
    </w:p>
    <w:p w14:paraId="31881403" w14:textId="77777777" w:rsidR="002058B3" w:rsidRDefault="002058B3">
      <w:pPr>
        <w:pStyle w:val="Body"/>
        <w:rPr>
          <w:rFonts w:ascii="Arial" w:hAnsi="Arial" w:cs="Arial"/>
          <w:bCs/>
        </w:rPr>
      </w:pPr>
    </w:p>
    <w:p w14:paraId="7F51EB72" w14:textId="341FD447" w:rsidR="002058B3" w:rsidRPr="002058B3" w:rsidRDefault="002058B3">
      <w:pPr>
        <w:pStyle w:val="Body"/>
        <w:rPr>
          <w:rFonts w:ascii="Arial" w:hAnsi="Arial" w:cs="Arial"/>
          <w:bCs/>
        </w:rPr>
      </w:pPr>
      <w:r>
        <w:rPr>
          <w:rFonts w:ascii="Arial" w:hAnsi="Arial" w:cs="Arial"/>
          <w:bCs/>
        </w:rPr>
        <w:t>The purpose of this document is to provide an update to NSF’s upcoming changes to their Proposal &amp; Award Policies &amp; Procedures Guide (PAPPG). Individuals (Principal Investigators, Department Administrators, Contract and Grant Administrators, etc) involved in the proposal preparation process are encouraged to review this document and any related information prior to routing the NSF proposal to the UNM OSP via Cayuse SP.</w:t>
      </w:r>
    </w:p>
    <w:p w14:paraId="504CC813" w14:textId="77777777" w:rsidR="00D131CC" w:rsidRPr="006E3059" w:rsidRDefault="00D131CC">
      <w:pPr>
        <w:pStyle w:val="Body"/>
        <w:rPr>
          <w:rFonts w:ascii="Arial" w:hAnsi="Arial" w:cs="Arial"/>
        </w:rPr>
      </w:pPr>
    </w:p>
    <w:p w14:paraId="670CD9E1" w14:textId="46605434" w:rsidR="00D131CC" w:rsidRPr="006E3059" w:rsidRDefault="00ED387A">
      <w:pPr>
        <w:pStyle w:val="Body"/>
        <w:rPr>
          <w:rFonts w:ascii="Arial" w:hAnsi="Arial" w:cs="Arial"/>
        </w:rPr>
      </w:pPr>
      <w:r>
        <w:rPr>
          <w:rStyle w:val="Hyperlink0"/>
          <w:rFonts w:ascii="Arial" w:hAnsi="Arial" w:cs="Arial"/>
          <w:u w:val="none"/>
        </w:rPr>
        <w:t xml:space="preserve">Please note that this document supplements the NSF’s Significant Changes and Clarification to the PAPPG document that can be found on the NSF website </w:t>
      </w:r>
      <w:hyperlink r:id="rId6" w:history="1">
        <w:r w:rsidRPr="00ED387A">
          <w:rPr>
            <w:rStyle w:val="Hyperlink"/>
            <w:rFonts w:ascii="Arial" w:hAnsi="Arial" w:cs="Arial"/>
            <w:b/>
            <w:color w:val="0000FF"/>
          </w:rPr>
          <w:t>http://www.nsf.gov/pubs/policydocs/pappguide/nsf16001/sigchanges.jsp</w:t>
        </w:r>
      </w:hyperlink>
      <w:r>
        <w:rPr>
          <w:rStyle w:val="Hyperlink0"/>
          <w:rFonts w:ascii="Arial" w:hAnsi="Arial" w:cs="Arial"/>
          <w:u w:val="none"/>
        </w:rPr>
        <w:t xml:space="preserve">. </w:t>
      </w:r>
    </w:p>
    <w:tbl>
      <w:tblPr>
        <w:tblStyle w:val="MediumList2-Accent1"/>
        <w:tblW w:w="10800" w:type="dxa"/>
        <w:tblLayout w:type="fixed"/>
        <w:tblLook w:val="04A0" w:firstRow="1" w:lastRow="0" w:firstColumn="1" w:lastColumn="0" w:noHBand="0" w:noVBand="1"/>
      </w:tblPr>
      <w:tblGrid>
        <w:gridCol w:w="3438"/>
        <w:gridCol w:w="7362"/>
      </w:tblGrid>
      <w:tr w:rsidR="006E3059" w:rsidRPr="006E3059" w14:paraId="41EDAFF8" w14:textId="77777777" w:rsidTr="22EFF11E">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3438" w:type="dxa"/>
            <w:vAlign w:val="bottom"/>
          </w:tcPr>
          <w:p w14:paraId="730F8DC3" w14:textId="5BC41C46" w:rsidR="006E3059" w:rsidRPr="006E3059" w:rsidRDefault="00ED387A" w:rsidP="006E3059">
            <w:pPr>
              <w:pStyle w:val="TableStyle2"/>
              <w:rPr>
                <w:rFonts w:ascii="Arial" w:hAnsi="Arial" w:cs="Arial"/>
                <w:szCs w:val="22"/>
              </w:rPr>
            </w:pPr>
            <w:r>
              <w:rPr>
                <w:rFonts w:ascii="Arial" w:hAnsi="Arial" w:cs="Arial"/>
                <w:szCs w:val="22"/>
              </w:rPr>
              <w:t>Change</w:t>
            </w:r>
          </w:p>
        </w:tc>
        <w:tc>
          <w:tcPr>
            <w:tcW w:w="7362" w:type="dxa"/>
            <w:vAlign w:val="bottom"/>
          </w:tcPr>
          <w:p w14:paraId="36BE69CD" w14:textId="77777777" w:rsidR="006E3059" w:rsidRPr="006E3059" w:rsidRDefault="22EFF11E" w:rsidP="006E3059">
            <w:pPr>
              <w:pStyle w:val="TableStyle2"/>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22EFF11E">
              <w:rPr>
                <w:rFonts w:ascii="Arial" w:eastAsia="Arial" w:hAnsi="Arial" w:cs="Arial"/>
              </w:rPr>
              <w:t>Summary</w:t>
            </w:r>
          </w:p>
        </w:tc>
      </w:tr>
      <w:tr w:rsidR="006E3059" w:rsidRPr="006E3059" w14:paraId="6AC19C4A" w14:textId="77777777" w:rsidTr="22EFF11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56849668" w14:textId="77777777" w:rsidR="00D131CC" w:rsidRPr="00ED387A" w:rsidRDefault="002058B3" w:rsidP="006E3059">
            <w:pPr>
              <w:pStyle w:val="TableStyle2"/>
              <w:rPr>
                <w:rFonts w:ascii="Arial" w:hAnsi="Arial" w:cs="Arial"/>
                <w:b/>
              </w:rPr>
            </w:pPr>
            <w:r w:rsidRPr="00ED387A">
              <w:rPr>
                <w:rFonts w:ascii="Arial" w:hAnsi="Arial" w:cs="Arial"/>
                <w:b/>
                <w:szCs w:val="22"/>
              </w:rPr>
              <w:t>05:00:00 PM</w:t>
            </w:r>
          </w:p>
        </w:tc>
        <w:tc>
          <w:tcPr>
            <w:tcW w:w="7362" w:type="dxa"/>
          </w:tcPr>
          <w:p w14:paraId="378B0167" w14:textId="0E4B0827" w:rsidR="00D131CC" w:rsidRPr="006E3059" w:rsidRDefault="22EFF11E" w:rsidP="22EFF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EFF11E">
              <w:rPr>
                <w:rFonts w:ascii="Arial" w:eastAsia="Arial" w:hAnsi="Arial" w:cs="Arial"/>
                <w:sz w:val="22"/>
                <w:szCs w:val="22"/>
              </w:rPr>
              <w:t>NSF will reject proposals submitted after 5:</w:t>
            </w:r>
            <w:r w:rsidRPr="22EFF11E">
              <w:rPr>
                <w:rFonts w:ascii="Arial" w:eastAsia="Arial" w:hAnsi="Arial" w:cs="Arial"/>
                <w:sz w:val="22"/>
                <w:szCs w:val="22"/>
                <w:u w:val="single"/>
              </w:rPr>
              <w:t>00</w:t>
            </w:r>
            <w:r w:rsidRPr="22EFF11E">
              <w:rPr>
                <w:rFonts w:ascii="Arial" w:eastAsia="Arial" w:hAnsi="Arial" w:cs="Arial"/>
                <w:sz w:val="22"/>
                <w:szCs w:val="22"/>
              </w:rPr>
              <w:t>:</w:t>
            </w:r>
            <w:r w:rsidRPr="22EFF11E">
              <w:rPr>
                <w:rFonts w:ascii="Arial" w:eastAsia="Arial" w:hAnsi="Arial" w:cs="Arial"/>
                <w:sz w:val="22"/>
                <w:szCs w:val="22"/>
                <w:u w:val="single"/>
              </w:rPr>
              <w:t>00</w:t>
            </w:r>
            <w:r w:rsidRPr="22EFF11E">
              <w:rPr>
                <w:rFonts w:ascii="Arial" w:eastAsia="Arial" w:hAnsi="Arial" w:cs="Arial"/>
                <w:sz w:val="22"/>
                <w:szCs w:val="22"/>
              </w:rPr>
              <w:t xml:space="preserve"> PM submitter’s local time. Recommend working with OSP very early in the process to avoid rejected proposals based on the time stamp.</w:t>
            </w:r>
          </w:p>
        </w:tc>
      </w:tr>
      <w:tr w:rsidR="006E3059" w:rsidRPr="006E3059" w14:paraId="1F995FEC" w14:textId="77777777" w:rsidTr="22EFF11E">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2095B4DA" w14:textId="77777777" w:rsidR="00D131CC" w:rsidRPr="006E3059" w:rsidRDefault="006E3059" w:rsidP="006E3059">
            <w:pPr>
              <w:pStyle w:val="TableStyle2"/>
              <w:rPr>
                <w:rFonts w:ascii="Arial" w:hAnsi="Arial" w:cs="Arial"/>
              </w:rPr>
            </w:pPr>
            <w:r w:rsidRPr="006E3059">
              <w:rPr>
                <w:rFonts w:ascii="Arial" w:hAnsi="Arial" w:cs="Arial"/>
                <w:szCs w:val="22"/>
              </w:rPr>
              <w:t>Authorized Or</w:t>
            </w:r>
            <w:r>
              <w:rPr>
                <w:rFonts w:ascii="Arial" w:hAnsi="Arial" w:cs="Arial"/>
                <w:szCs w:val="22"/>
              </w:rPr>
              <w:t>ganizational Representative (AOR</w:t>
            </w:r>
            <w:r w:rsidRPr="006E3059">
              <w:rPr>
                <w:rFonts w:ascii="Arial" w:hAnsi="Arial" w:cs="Arial"/>
                <w:szCs w:val="22"/>
              </w:rPr>
              <w:t>)</w:t>
            </w:r>
          </w:p>
        </w:tc>
        <w:tc>
          <w:tcPr>
            <w:tcW w:w="7362" w:type="dxa"/>
          </w:tcPr>
          <w:p w14:paraId="2A47CD3D" w14:textId="5046AE91" w:rsidR="00D131CC" w:rsidRPr="006E3059" w:rsidRDefault="22EFF11E" w:rsidP="22EFF11E">
            <w:pPr>
              <w:cnfStyle w:val="000000000000" w:firstRow="0" w:lastRow="0" w:firstColumn="0" w:lastColumn="0" w:oddVBand="0" w:evenVBand="0" w:oddHBand="0" w:evenHBand="0" w:firstRowFirstColumn="0" w:firstRowLastColumn="0" w:lastRowFirstColumn="0" w:lastRowLastColumn="0"/>
              <w:rPr>
                <w:rFonts w:ascii="Arial" w:hAnsi="Arial" w:cs="Arial"/>
              </w:rPr>
            </w:pPr>
            <w:r w:rsidRPr="22EFF11E">
              <w:rPr>
                <w:rFonts w:ascii="Arial" w:eastAsia="Arial" w:hAnsi="Arial" w:cs="Arial"/>
                <w:sz w:val="22"/>
                <w:szCs w:val="22"/>
              </w:rPr>
              <w:t>UNM OSP is the AOR and will need to provide proposal certifications concurrently with the submission of the proposal and sign and submit proposal file updates and revised budgets. UNM OSP is the only entity that can withdraw on behalf of UNM. Recommend communicating with OSP to ensure the correct actions are taking place.</w:t>
            </w:r>
          </w:p>
        </w:tc>
      </w:tr>
      <w:tr w:rsidR="006E3059" w:rsidRPr="006E3059" w14:paraId="76541025" w14:textId="77777777" w:rsidTr="22EFF11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5A01B481" w14:textId="77777777" w:rsidR="00D131CC" w:rsidRPr="00ED387A" w:rsidRDefault="006E3059" w:rsidP="006E3059">
            <w:pPr>
              <w:pStyle w:val="TableStyle2"/>
              <w:rPr>
                <w:rFonts w:ascii="Arial" w:hAnsi="Arial" w:cs="Arial"/>
                <w:b/>
              </w:rPr>
            </w:pPr>
            <w:r w:rsidRPr="00ED387A">
              <w:rPr>
                <w:rFonts w:ascii="Arial" w:hAnsi="Arial" w:cs="Arial"/>
                <w:b/>
                <w:szCs w:val="22"/>
              </w:rPr>
              <w:t>Proposal Certification: Dual Use Research Of Concern</w:t>
            </w:r>
          </w:p>
        </w:tc>
        <w:tc>
          <w:tcPr>
            <w:tcW w:w="7362" w:type="dxa"/>
          </w:tcPr>
          <w:p w14:paraId="0E76958E" w14:textId="098F77F2" w:rsidR="00D131CC" w:rsidRPr="006E3059" w:rsidRDefault="22EFF11E" w:rsidP="22EFF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EFF11E">
              <w:rPr>
                <w:rFonts w:ascii="Arial" w:eastAsia="Arial" w:hAnsi="Arial" w:cs="Arial"/>
                <w:sz w:val="22"/>
                <w:szCs w:val="22"/>
              </w:rPr>
              <w:t>Proposal certifications have a new certification regarding Dual Use Research of Concern. All Principal Investigators intending to work with select agents or toxins must work directly with the UNM Biosafety Office early in the process of proposal development for guidance. See additional attachment called "UNM Guidance: Dual Use Research of Concern"</w:t>
            </w:r>
          </w:p>
        </w:tc>
      </w:tr>
      <w:tr w:rsidR="006E3059" w:rsidRPr="006E3059" w14:paraId="308B578B" w14:textId="77777777" w:rsidTr="22EFF11E">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11FC580D" w14:textId="77777777" w:rsidR="00D131CC" w:rsidRPr="006E3059" w:rsidRDefault="006E3059" w:rsidP="006E3059">
            <w:pPr>
              <w:pStyle w:val="TableStyle2"/>
              <w:rPr>
                <w:rFonts w:ascii="Arial" w:hAnsi="Arial" w:cs="Arial"/>
              </w:rPr>
            </w:pPr>
            <w:r w:rsidRPr="006E3059">
              <w:rPr>
                <w:rFonts w:ascii="Arial" w:hAnsi="Arial" w:cs="Arial"/>
                <w:szCs w:val="22"/>
              </w:rPr>
              <w:t>New Section: Du</w:t>
            </w:r>
            <w:r>
              <w:rPr>
                <w:rFonts w:ascii="Arial" w:hAnsi="Arial" w:cs="Arial"/>
                <w:szCs w:val="22"/>
              </w:rPr>
              <w:t>al Use Research Of Concern (DURC</w:t>
            </w:r>
            <w:r w:rsidRPr="006E3059">
              <w:rPr>
                <w:rFonts w:ascii="Arial" w:hAnsi="Arial" w:cs="Arial"/>
                <w:szCs w:val="22"/>
              </w:rPr>
              <w:t>)</w:t>
            </w:r>
          </w:p>
        </w:tc>
        <w:tc>
          <w:tcPr>
            <w:tcW w:w="7362" w:type="dxa"/>
          </w:tcPr>
          <w:p w14:paraId="18CAA0E6" w14:textId="6C5C00DD" w:rsidR="00D131CC" w:rsidRPr="006E3059" w:rsidRDefault="22EFF11E" w:rsidP="22EFF11E">
            <w:pPr>
              <w:cnfStyle w:val="000000000000" w:firstRow="0" w:lastRow="0" w:firstColumn="0" w:lastColumn="0" w:oddVBand="0" w:evenVBand="0" w:oddHBand="0" w:evenHBand="0" w:firstRowFirstColumn="0" w:firstRowLastColumn="0" w:lastRowFirstColumn="0" w:lastRowLastColumn="0"/>
              <w:rPr>
                <w:rFonts w:ascii="Arial" w:hAnsi="Arial" w:cs="Arial"/>
              </w:rPr>
            </w:pPr>
            <w:r w:rsidRPr="22EFF11E">
              <w:rPr>
                <w:rFonts w:ascii="Arial" w:eastAsia="Arial" w:hAnsi="Arial" w:cs="Arial"/>
                <w:sz w:val="22"/>
                <w:szCs w:val="22"/>
              </w:rPr>
              <w:t>A new section for Dual Use Research of Concern has been included per NSF’s implementation of the US Government Policy for Institutional Oversight of Life Sciences Dual Use Research of Concern.</w:t>
            </w:r>
          </w:p>
        </w:tc>
      </w:tr>
      <w:tr w:rsidR="006E3059" w:rsidRPr="006E3059" w14:paraId="79E4449D" w14:textId="77777777" w:rsidTr="22EFF11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6CAA4DFA" w14:textId="77777777" w:rsidR="00D131CC" w:rsidRPr="00ED387A" w:rsidRDefault="006E3059" w:rsidP="006E3059">
            <w:pPr>
              <w:pStyle w:val="TableStyle2"/>
              <w:rPr>
                <w:rFonts w:ascii="Arial" w:hAnsi="Arial" w:cs="Arial"/>
                <w:b/>
              </w:rPr>
            </w:pPr>
            <w:r w:rsidRPr="00ED387A">
              <w:rPr>
                <w:rFonts w:ascii="Arial" w:hAnsi="Arial" w:cs="Arial"/>
                <w:b/>
                <w:szCs w:val="22"/>
              </w:rPr>
              <w:t>Biographical_Sketch_1.pdf</w:t>
            </w:r>
          </w:p>
        </w:tc>
        <w:tc>
          <w:tcPr>
            <w:tcW w:w="7362" w:type="dxa"/>
          </w:tcPr>
          <w:p w14:paraId="5C7E71E5" w14:textId="62F34DFD" w:rsidR="00D131CC" w:rsidRPr="006E3059" w:rsidRDefault="22EFF11E" w:rsidP="22EFF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EFF11E">
              <w:rPr>
                <w:rFonts w:ascii="Arial" w:eastAsia="Arial" w:hAnsi="Arial" w:cs="Arial"/>
                <w:sz w:val="22"/>
                <w:szCs w:val="22"/>
              </w:rPr>
              <w:t xml:space="preserve">Biographical sketches must be uploaded for each senior personnel identified on the proposal as a separate document. Recommend using a common naming convention to ensure that all senior personnel have a corresponding Biographical Sketch (e.g. 1234-BIOSKT-John-Smith.pdf). </w:t>
            </w:r>
          </w:p>
        </w:tc>
      </w:tr>
      <w:tr w:rsidR="006E3059" w:rsidRPr="006E3059" w14:paraId="3C1AF590" w14:textId="77777777" w:rsidTr="22EFF11E">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452946DA" w14:textId="77777777" w:rsidR="00D131CC" w:rsidRPr="006E3059" w:rsidRDefault="006E3059" w:rsidP="006E3059">
            <w:pPr>
              <w:pStyle w:val="TableStyle2"/>
              <w:rPr>
                <w:rFonts w:ascii="Arial" w:hAnsi="Arial" w:cs="Arial"/>
              </w:rPr>
            </w:pPr>
            <w:r w:rsidRPr="006E3059">
              <w:rPr>
                <w:rFonts w:ascii="Arial" w:hAnsi="Arial" w:cs="Arial"/>
                <w:szCs w:val="22"/>
              </w:rPr>
              <w:t>Collaborator_And</w:t>
            </w:r>
            <w:r>
              <w:rPr>
                <w:rFonts w:ascii="Arial" w:hAnsi="Arial" w:cs="Arial"/>
                <w:szCs w:val="22"/>
              </w:rPr>
              <w:t>_Other_Affiliation_Information.p</w:t>
            </w:r>
            <w:r w:rsidRPr="006E3059">
              <w:rPr>
                <w:rFonts w:ascii="Arial" w:hAnsi="Arial" w:cs="Arial"/>
                <w:szCs w:val="22"/>
              </w:rPr>
              <w:t>df</w:t>
            </w:r>
          </w:p>
        </w:tc>
        <w:tc>
          <w:tcPr>
            <w:tcW w:w="7362" w:type="dxa"/>
          </w:tcPr>
          <w:p w14:paraId="5B8FF0EF" w14:textId="44640866" w:rsidR="00D131CC" w:rsidRPr="006E3059" w:rsidRDefault="22EFF11E" w:rsidP="22EFF11E">
            <w:pPr>
              <w:cnfStyle w:val="000000000000" w:firstRow="0" w:lastRow="0" w:firstColumn="0" w:lastColumn="0" w:oddVBand="0" w:evenVBand="0" w:oddHBand="0" w:evenHBand="0" w:firstRowFirstColumn="0" w:firstRowLastColumn="0" w:lastRowFirstColumn="0" w:lastRowLastColumn="0"/>
              <w:rPr>
                <w:rFonts w:ascii="Arial" w:hAnsi="Arial" w:cs="Arial"/>
              </w:rPr>
            </w:pPr>
            <w:r w:rsidRPr="22EFF11E">
              <w:rPr>
                <w:rFonts w:ascii="Arial" w:eastAsia="Arial" w:hAnsi="Arial" w:cs="Arial"/>
                <w:sz w:val="22"/>
                <w:szCs w:val="22"/>
              </w:rPr>
              <w:t>Collaborator and other affiliation information must be uploaded as a separate document.</w:t>
            </w:r>
          </w:p>
        </w:tc>
      </w:tr>
      <w:tr w:rsidR="006E3059" w:rsidRPr="006E3059" w14:paraId="4FAAC9B7" w14:textId="77777777" w:rsidTr="22EFF11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714B6F00" w14:textId="77777777" w:rsidR="00D131CC" w:rsidRPr="00ED387A" w:rsidRDefault="006E3059" w:rsidP="006E3059">
            <w:pPr>
              <w:pStyle w:val="TableStyle2"/>
              <w:rPr>
                <w:rFonts w:ascii="Arial" w:hAnsi="Arial" w:cs="Arial"/>
                <w:b/>
              </w:rPr>
            </w:pPr>
            <w:r w:rsidRPr="00ED387A">
              <w:rPr>
                <w:rFonts w:ascii="Arial" w:hAnsi="Arial" w:cs="Arial"/>
                <w:b/>
                <w:szCs w:val="22"/>
              </w:rPr>
              <w:t>Current_And_Pending_Support_1.pdf</w:t>
            </w:r>
          </w:p>
        </w:tc>
        <w:tc>
          <w:tcPr>
            <w:tcW w:w="7362" w:type="dxa"/>
          </w:tcPr>
          <w:p w14:paraId="75EE3D18" w14:textId="4B8455F1" w:rsidR="00D131CC" w:rsidRPr="006E3059" w:rsidRDefault="22EFF11E" w:rsidP="22EFF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EFF11E">
              <w:rPr>
                <w:rFonts w:ascii="Arial" w:eastAsia="Arial" w:hAnsi="Arial" w:cs="Arial"/>
                <w:sz w:val="22"/>
                <w:szCs w:val="22"/>
              </w:rPr>
              <w:t xml:space="preserve">Current and pending support must be uploaded for each senior personal identified on the proposal as a separate document. Recommend using a common naming convention to ensure that all senior personnel have a corresponding current and pending support (e.g. 1234-CPSupport-John-Smith.pdf). </w:t>
            </w:r>
          </w:p>
        </w:tc>
      </w:tr>
    </w:tbl>
    <w:p w14:paraId="7AA6337F" w14:textId="3A1F1B69" w:rsidR="22EFF11E" w:rsidRDefault="22EFF11E"/>
    <w:p w14:paraId="66E662F2" w14:textId="77777777" w:rsidR="00D131CC" w:rsidRPr="006E3059" w:rsidRDefault="00D131CC">
      <w:pPr>
        <w:pStyle w:val="Body"/>
        <w:rPr>
          <w:rFonts w:ascii="Arial" w:hAnsi="Arial" w:cs="Arial"/>
        </w:rPr>
      </w:pPr>
    </w:p>
    <w:sectPr w:rsidR="00D131CC" w:rsidRPr="006E3059">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1C26" w14:textId="77777777" w:rsidR="00B655AF" w:rsidRDefault="002058B3">
      <w:r>
        <w:separator/>
      </w:r>
    </w:p>
  </w:endnote>
  <w:endnote w:type="continuationSeparator" w:id="0">
    <w:p w14:paraId="42BD009D" w14:textId="77777777" w:rsidR="00B655AF" w:rsidRDefault="002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ECE5" w14:textId="77777777" w:rsidR="00D131CC" w:rsidRDefault="00D131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D221" w14:textId="77777777" w:rsidR="00B655AF" w:rsidRDefault="002058B3">
      <w:r>
        <w:separator/>
      </w:r>
    </w:p>
  </w:footnote>
  <w:footnote w:type="continuationSeparator" w:id="0">
    <w:p w14:paraId="503CE9EC" w14:textId="77777777" w:rsidR="00B655AF" w:rsidRDefault="00205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F96B" w14:textId="3F2DE9E7" w:rsidR="00D131CC" w:rsidRDefault="0EFE0508">
    <w:r>
      <w:t>RAN Handout: January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1CC"/>
    <w:rsid w:val="002058B3"/>
    <w:rsid w:val="002C6ACC"/>
    <w:rsid w:val="003214A0"/>
    <w:rsid w:val="00557AA9"/>
    <w:rsid w:val="00561161"/>
    <w:rsid w:val="006E3059"/>
    <w:rsid w:val="00792858"/>
    <w:rsid w:val="00B655AF"/>
    <w:rsid w:val="00D131CC"/>
    <w:rsid w:val="00ED387A"/>
    <w:rsid w:val="0EFE0508"/>
    <w:rsid w:val="22EFF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33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table" w:styleId="LightShading">
    <w:name w:val="Light Shading"/>
    <w:basedOn w:val="TableNormal"/>
    <w:uiPriority w:val="60"/>
    <w:rsid w:val="006E30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3059"/>
    <w:rPr>
      <w:color w:val="2F759E" w:themeColor="accent1" w:themeShade="BF"/>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styleId="LightList-Accent1">
    <w:name w:val="Light List Accent 1"/>
    <w:basedOn w:val="TableNormal"/>
    <w:uiPriority w:val="61"/>
    <w:rsid w:val="006E3059"/>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 w:type="table" w:styleId="MediumList1-Accent1">
    <w:name w:val="Medium List 1 Accent 1"/>
    <w:basedOn w:val="TableNormal"/>
    <w:uiPriority w:val="65"/>
    <w:rsid w:val="006E3059"/>
    <w:rPr>
      <w:color w:val="000000" w:themeColor="text1"/>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404040"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MediumGrid2-Accent1">
    <w:name w:val="Medium Grid 2 Accent 1"/>
    <w:basedOn w:val="TableNormal"/>
    <w:uiPriority w:val="68"/>
    <w:rsid w:val="006E3059"/>
    <w:rPr>
      <w:rFonts w:asciiTheme="majorHAnsi" w:eastAsiaTheme="majorEastAsia" w:hAnsiTheme="majorHAnsi" w:cstheme="majorBidi"/>
      <w:color w:val="000000" w:themeColor="text1"/>
    </w:rPr>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CellMar>
        <w:top w:w="0" w:type="dxa"/>
        <w:left w:w="108" w:type="dxa"/>
        <w:bottom w:w="0" w:type="dxa"/>
        <w:right w:w="108" w:type="dxa"/>
      </w:tblCellMar>
    </w:tblPr>
    <w:tcPr>
      <w:shd w:val="clear" w:color="auto" w:fill="D2E6F1" w:themeFill="accent1" w:themeFillTint="3F"/>
    </w:tcPr>
    <w:tblStylePr w:type="firstRow">
      <w:rPr>
        <w:b/>
        <w:bCs/>
        <w:color w:val="000000" w:themeColor="text1"/>
      </w:rPr>
      <w:tblPr/>
      <w:tcPr>
        <w:shd w:val="clear" w:color="auto" w:fill="EDF5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AF4" w:themeFill="accent1" w:themeFillTint="33"/>
      </w:tcPr>
    </w:tblStylePr>
    <w:tblStylePr w:type="band1Vert">
      <w:tblPr/>
      <w:tcPr>
        <w:shd w:val="clear" w:color="auto" w:fill="A4CDE4" w:themeFill="accent1" w:themeFillTint="7F"/>
      </w:tcPr>
    </w:tblStylePr>
    <w:tblStylePr w:type="band1Horz">
      <w:tblPr/>
      <w:tcPr>
        <w:tcBorders>
          <w:insideH w:val="single" w:sz="6" w:space="0" w:color="499BC9" w:themeColor="accent1"/>
          <w:insideV w:val="single" w:sz="6" w:space="0" w:color="499BC9" w:themeColor="accent1"/>
        </w:tcBorders>
        <w:shd w:val="clear" w:color="auto" w:fill="A4CDE4"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6E3059"/>
    <w:rPr>
      <w:rFonts w:asciiTheme="majorHAnsi" w:eastAsiaTheme="majorEastAsia" w:hAnsiTheme="majorHAnsi" w:cstheme="majorBidi"/>
      <w:color w:val="000000" w:themeColor="text1"/>
    </w:rPr>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99BC9" w:themeColor="accent1"/>
          <w:right w:val="nil"/>
          <w:insideH w:val="nil"/>
          <w:insideV w:val="nil"/>
        </w:tcBorders>
        <w:shd w:val="clear" w:color="auto" w:fill="FFFFFF" w:themeFill="background1"/>
      </w:tcPr>
    </w:tblStylePr>
    <w:tblStylePr w:type="lastRow">
      <w:tblPr/>
      <w:tcPr>
        <w:tcBorders>
          <w:top w:val="single" w:sz="8" w:space="0" w:color="499BC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BC9" w:themeColor="accent1"/>
          <w:insideH w:val="nil"/>
          <w:insideV w:val="nil"/>
        </w:tcBorders>
        <w:shd w:val="clear" w:color="auto" w:fill="FFFFFF" w:themeFill="background1"/>
      </w:tcPr>
    </w:tblStylePr>
    <w:tblStylePr w:type="lastCol">
      <w:tblPr/>
      <w:tcPr>
        <w:tcBorders>
          <w:top w:val="nil"/>
          <w:left w:val="single" w:sz="8" w:space="0" w:color="499BC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top w:val="nil"/>
          <w:bottom w:val="nil"/>
          <w:insideH w:val="nil"/>
          <w:insideV w:val="nil"/>
        </w:tcBorders>
        <w:shd w:val="clear" w:color="auto" w:fill="D2E6F1"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sf.gov/pubs/policydocs/pappguide/nsf16001/sigchanges.js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Macintosh Word</Application>
  <DocSecurity>4</DocSecurity>
  <Lines>20</Lines>
  <Paragraphs>5</Paragraphs>
  <ScaleCrop>false</ScaleCrop>
  <Company>UNM</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Lynn Faustino</cp:lastModifiedBy>
  <cp:revision>2</cp:revision>
  <dcterms:created xsi:type="dcterms:W3CDTF">2016-01-19T01:56:00Z</dcterms:created>
  <dcterms:modified xsi:type="dcterms:W3CDTF">2016-01-19T01:56:00Z</dcterms:modified>
</cp:coreProperties>
</file>